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F3" w:rsidRPr="00AC0437" w:rsidRDefault="007765F3" w:rsidP="007765F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C0437">
        <w:rPr>
          <w:b/>
          <w:bCs/>
          <w:color w:val="000000"/>
        </w:rPr>
        <w:t>ГЛАВА 13</w:t>
      </w:r>
    </w:p>
    <w:p w:rsidR="007765F3" w:rsidRPr="00AC0437" w:rsidRDefault="007765F3" w:rsidP="007765F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C0437">
        <w:rPr>
          <w:b/>
          <w:bCs/>
          <w:color w:val="000000"/>
        </w:rPr>
        <w:t>ГЕПАТОЦЕЛЛЮЛЯРНЫЙ РАК (С22.0)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right"/>
        <w:rPr>
          <w:bCs/>
          <w:color w:val="000000"/>
        </w:rPr>
      </w:pPr>
      <w:r w:rsidRPr="00AC0437">
        <w:rPr>
          <w:bCs/>
          <w:color w:val="000000"/>
        </w:rPr>
        <w:t>Таблица 13.1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 xml:space="preserve">Основные </w:t>
      </w:r>
      <w:r>
        <w:rPr>
          <w:bCs/>
          <w:color w:val="000000"/>
        </w:rPr>
        <w:t>статистические показатели С22.0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7765F3" w:rsidRPr="00AC0437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7765F3" w:rsidRPr="00AC0437" w:rsidRDefault="007765F3" w:rsidP="0091738A">
            <w:pPr>
              <w:contextualSpacing/>
              <w:jc w:val="center"/>
              <w:rPr>
                <w:b/>
                <w:bCs/>
              </w:rPr>
            </w:pPr>
            <w:r w:rsidRPr="00AC0437">
              <w:rPr>
                <w:b/>
                <w:bCs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7765F3" w:rsidRPr="00AC0437" w:rsidRDefault="007765F3" w:rsidP="0091738A">
            <w:pPr>
              <w:contextualSpacing/>
              <w:jc w:val="center"/>
              <w:rPr>
                <w:b/>
                <w:bCs/>
              </w:rPr>
            </w:pPr>
            <w:r w:rsidRPr="00AC0437">
              <w:rPr>
                <w:b/>
                <w:bCs/>
              </w:rPr>
              <w:t>Число</w:t>
            </w:r>
          </w:p>
        </w:tc>
      </w:tr>
      <w:tr w:rsidR="007765F3" w:rsidRPr="00AC0437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7765F3" w:rsidRPr="00AC0437" w:rsidRDefault="007765F3" w:rsidP="0091738A">
            <w:pPr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7765F3" w:rsidRPr="00AC0437" w:rsidRDefault="007765F3" w:rsidP="0091738A">
            <w:pPr>
              <w:jc w:val="center"/>
            </w:pPr>
            <w:r w:rsidRPr="00AC0437">
              <w:t>2011</w:t>
            </w:r>
          </w:p>
        </w:tc>
        <w:tc>
          <w:tcPr>
            <w:tcW w:w="1543" w:type="dxa"/>
            <w:shd w:val="clear" w:color="auto" w:fill="auto"/>
          </w:tcPr>
          <w:p w:rsidR="007765F3" w:rsidRPr="00AC0437" w:rsidRDefault="007765F3" w:rsidP="0091738A">
            <w:pPr>
              <w:jc w:val="center"/>
            </w:pPr>
            <w:r w:rsidRPr="00AC0437">
              <w:t>2016</w:t>
            </w:r>
          </w:p>
        </w:tc>
      </w:tr>
      <w:tr w:rsidR="007765F3" w:rsidRPr="00AC0437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C0437">
              <w:rPr>
                <w:szCs w:val="24"/>
              </w:rPr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396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483</w:t>
            </w:r>
          </w:p>
        </w:tc>
      </w:tr>
      <w:tr w:rsidR="007765F3" w:rsidRPr="00AC0437" w:rsidTr="0091738A"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C0437">
              <w:rPr>
                <w:szCs w:val="24"/>
              </w:rPr>
              <w:t>Заболеваемость на 100 000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4,2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5,1</w:t>
            </w:r>
          </w:p>
        </w:tc>
      </w:tr>
      <w:tr w:rsidR="007765F3" w:rsidRPr="00AC0437" w:rsidTr="0091738A"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szCs w:val="24"/>
              </w:rPr>
            </w:pPr>
            <w:r w:rsidRPr="00AC0437">
              <w:rPr>
                <w:szCs w:val="24"/>
              </w:rPr>
              <w:t xml:space="preserve">Диагноз установлен в </w:t>
            </w:r>
            <w:r w:rsidRPr="00AC0437">
              <w:rPr>
                <w:szCs w:val="24"/>
                <w:lang w:val="en-US"/>
              </w:rPr>
              <w:t>I</w:t>
            </w:r>
            <w:r w:rsidRPr="00AC0437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3,4</w:t>
            </w:r>
          </w:p>
        </w:tc>
        <w:tc>
          <w:tcPr>
            <w:tcW w:w="1543" w:type="dxa"/>
            <w:shd w:val="clear" w:color="auto" w:fill="auto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3,1</w:t>
            </w:r>
          </w:p>
        </w:tc>
      </w:tr>
      <w:tr w:rsidR="007765F3" w:rsidRPr="00AC0437" w:rsidTr="0091738A"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C0437">
              <w:rPr>
                <w:szCs w:val="24"/>
              </w:rPr>
              <w:t xml:space="preserve">Диагноз установлен в </w:t>
            </w:r>
            <w:r w:rsidRPr="00AC0437">
              <w:rPr>
                <w:szCs w:val="24"/>
                <w:lang w:val="en-US"/>
              </w:rPr>
              <w:t>II</w:t>
            </w:r>
            <w:r w:rsidRPr="00AC0437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12</w:t>
            </w:r>
            <w:r w:rsidRPr="00AC0437">
              <w:t>,</w:t>
            </w:r>
            <w:r w:rsidRPr="00AC0437">
              <w:rPr>
                <w:lang w:val="en-US"/>
              </w:rPr>
              <w:t>2</w:t>
            </w:r>
          </w:p>
        </w:tc>
        <w:tc>
          <w:tcPr>
            <w:tcW w:w="1543" w:type="dxa"/>
            <w:shd w:val="clear" w:color="auto" w:fill="auto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9,1</w:t>
            </w:r>
          </w:p>
        </w:tc>
      </w:tr>
      <w:tr w:rsidR="007765F3" w:rsidRPr="00AC0437" w:rsidTr="0091738A"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C0437">
              <w:rPr>
                <w:szCs w:val="24"/>
              </w:rPr>
              <w:t xml:space="preserve">Диагноз установлен в </w:t>
            </w:r>
            <w:r w:rsidRPr="00AC0437">
              <w:rPr>
                <w:szCs w:val="24"/>
                <w:lang w:val="en-US"/>
              </w:rPr>
              <w:t>III</w:t>
            </w:r>
            <w:r w:rsidRPr="00AC0437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57,6</w:t>
            </w:r>
          </w:p>
        </w:tc>
        <w:tc>
          <w:tcPr>
            <w:tcW w:w="1543" w:type="dxa"/>
            <w:shd w:val="clear" w:color="auto" w:fill="auto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45,0</w:t>
            </w:r>
          </w:p>
        </w:tc>
      </w:tr>
      <w:tr w:rsidR="007765F3" w:rsidRPr="00AC0437" w:rsidTr="0091738A"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C0437">
              <w:rPr>
                <w:szCs w:val="24"/>
              </w:rPr>
              <w:t xml:space="preserve">Диагноз установлен в </w:t>
            </w:r>
            <w:r w:rsidRPr="00AC0437">
              <w:rPr>
                <w:szCs w:val="24"/>
                <w:lang w:val="en-US"/>
              </w:rPr>
              <w:t>IV</w:t>
            </w:r>
            <w:r w:rsidRPr="00AC0437">
              <w:rPr>
                <w:szCs w:val="24"/>
              </w:rPr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26,8</w:t>
            </w:r>
          </w:p>
        </w:tc>
        <w:tc>
          <w:tcPr>
            <w:tcW w:w="1543" w:type="dxa"/>
            <w:shd w:val="clear" w:color="auto" w:fill="auto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42</w:t>
            </w:r>
            <w:r w:rsidRPr="00AC0437">
              <w:t>,</w:t>
            </w:r>
            <w:r w:rsidRPr="00AC0437">
              <w:rPr>
                <w:lang w:val="en-US"/>
              </w:rPr>
              <w:t>8</w:t>
            </w:r>
          </w:p>
        </w:tc>
      </w:tr>
      <w:tr w:rsidR="007765F3" w:rsidRPr="00AC0437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C0437">
              <w:rPr>
                <w:szCs w:val="24"/>
              </w:rPr>
              <w:t xml:space="preserve">Прожили менее года с момента установления диагноза из числа заболевших в предыдущем году (одногодичная летальность </w:t>
            </w:r>
            <w:r w:rsidRPr="00AC0437">
              <w:rPr>
                <w:szCs w:val="24"/>
              </w:rPr>
              <w:br/>
              <w:t>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73,4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67,4</w:t>
            </w:r>
          </w:p>
        </w:tc>
      </w:tr>
      <w:tr w:rsidR="007765F3" w:rsidRPr="00AC0437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C0437">
              <w:rPr>
                <w:szCs w:val="24"/>
              </w:rPr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317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358</w:t>
            </w:r>
          </w:p>
        </w:tc>
      </w:tr>
      <w:tr w:rsidR="007765F3" w:rsidRPr="00AC0437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C0437">
              <w:rPr>
                <w:szCs w:val="24"/>
              </w:rPr>
              <w:t>Смертность на 100 000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3,3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3,8</w:t>
            </w:r>
          </w:p>
        </w:tc>
      </w:tr>
      <w:tr w:rsidR="007765F3" w:rsidRPr="00AC0437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C0437">
              <w:rPr>
                <w:szCs w:val="24"/>
              </w:rPr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78,6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74,5</w:t>
            </w:r>
          </w:p>
        </w:tc>
      </w:tr>
      <w:tr w:rsidR="007765F3" w:rsidRPr="00AC0437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C0437">
              <w:rPr>
                <w:szCs w:val="24"/>
              </w:rPr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411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  <w:rPr>
                <w:lang w:val="en-US"/>
              </w:rPr>
            </w:pPr>
            <w:r w:rsidRPr="00AC0437">
              <w:rPr>
                <w:lang w:val="en-US"/>
              </w:rPr>
              <w:t>518</w:t>
            </w:r>
          </w:p>
        </w:tc>
      </w:tr>
      <w:tr w:rsidR="007765F3" w:rsidRPr="00AC0437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7765F3" w:rsidRPr="00AC0437" w:rsidRDefault="007765F3" w:rsidP="0091738A">
            <w:pPr>
              <w:spacing w:before="60" w:after="60"/>
              <w:contextualSpacing/>
              <w:rPr>
                <w:b/>
                <w:szCs w:val="24"/>
              </w:rPr>
            </w:pPr>
            <w:r w:rsidRPr="00AC0437">
              <w:rPr>
                <w:szCs w:val="24"/>
              </w:rPr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</w:pPr>
            <w:r w:rsidRPr="00AC0437">
              <w:t>27,0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7765F3" w:rsidRPr="00AC0437" w:rsidRDefault="007765F3" w:rsidP="0091738A">
            <w:pPr>
              <w:jc w:val="center"/>
            </w:pPr>
            <w:r w:rsidRPr="00AC0437">
              <w:t>28,2</w:t>
            </w:r>
          </w:p>
        </w:tc>
      </w:tr>
    </w:tbl>
    <w:p w:rsidR="007765F3" w:rsidRPr="00AC0437" w:rsidRDefault="007765F3" w:rsidP="007765F3">
      <w:pPr>
        <w:overflowPunct w:val="0"/>
        <w:autoSpaceDE w:val="0"/>
        <w:autoSpaceDN w:val="0"/>
        <w:adjustRightInd w:val="0"/>
        <w:ind w:firstLine="709"/>
        <w:textAlignment w:val="baseline"/>
        <w:rPr>
          <w:b/>
        </w:rPr>
      </w:pPr>
    </w:p>
    <w:p w:rsidR="007765F3" w:rsidRPr="00AC0437" w:rsidRDefault="007765F3" w:rsidP="007765F3">
      <w:pPr>
        <w:overflowPunct w:val="0"/>
        <w:autoSpaceDE w:val="0"/>
        <w:autoSpaceDN w:val="0"/>
        <w:adjustRightInd w:val="0"/>
        <w:ind w:firstLine="709"/>
        <w:textAlignment w:val="baseline"/>
        <w:rPr>
          <w:b/>
        </w:rPr>
      </w:pPr>
      <w:r w:rsidRPr="00AC0437">
        <w:rPr>
          <w:b/>
        </w:rPr>
        <w:t>13.1. Гистологическая классификация.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 xml:space="preserve">Рекомендуется руководствоваться гистологической классификацией новообразований печени ВОЗ 2000 года.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lastRenderedPageBreak/>
        <w:t>13.1.1. Гепатоцеллюлярная карцинома (печеночно-клеточная карцинома);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13.1.2. Фиброламеллярный вариант гепатоцеллюлярной карциномы;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Гепатоцеллюлярный рак (ГЦР) является самой распространенной нозологической формой в структуре первичных злокачественных опухолей печени.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13.1.3. Гистологическая классификация злокачественных опухолей печени ВОЗ 2000 года включает эпителиальные, неэпителиальные и опухоли различного происхождения.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Эпителиальные злокачественные опухоли: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8170/3 гепатоцеллюлярная карцинома;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8160/3 интрапеченочная холангиокарцинома (карцинома периферических желчных протоков);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8161/3 цистаденокарцинома желчных протоков;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8180/3 сочетанная гепатоцеллюлярная и холангиоцеллюлярная карцинома;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8970/3 гепатобластома;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8020/3 недифференцированная карцинома.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Неэпителиальные злокачественные опухоли: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9133/1 эпителиоидная гемангиоэндотелиома;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9120/3 ангиосаркома;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8991/3 эмбриональная саркома (недифференцированная саркома);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8900/3 рабдомиосаркома.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Опухоли различного происхождения: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8815/0 одиночная фиброзная опухоль;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9080/1 тератома;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9071/3 опухоли желточного мешка (опухоли эндодермального синуса);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8980/3 карциносаркома;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lastRenderedPageBreak/>
        <w:t>9140/3 Капоши саркома;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8963/3 рабдоидные опухоли.</w:t>
      </w:r>
    </w:p>
    <w:p w:rsidR="007765F3" w:rsidRPr="00AC0437" w:rsidRDefault="007765F3" w:rsidP="007765F3">
      <w:pPr>
        <w:autoSpaceDE w:val="0"/>
        <w:autoSpaceDN w:val="0"/>
        <w:adjustRightInd w:val="0"/>
        <w:ind w:left="708" w:firstLine="1"/>
        <w:jc w:val="both"/>
        <w:rPr>
          <w:bCs/>
          <w:color w:val="000000"/>
        </w:rPr>
      </w:pPr>
      <w:r w:rsidRPr="00AC0437">
        <w:rPr>
          <w:bCs/>
          <w:color w:val="000000"/>
        </w:rPr>
        <w:t>13.1.4. Цитологические типы печеночно-клеточного рака следующие: светлоклеточный;</w:t>
      </w:r>
    </w:p>
    <w:p w:rsidR="007765F3" w:rsidRPr="00AC0437" w:rsidRDefault="007765F3" w:rsidP="007765F3">
      <w:pPr>
        <w:autoSpaceDE w:val="0"/>
        <w:autoSpaceDN w:val="0"/>
        <w:adjustRightInd w:val="0"/>
        <w:ind w:left="708" w:firstLine="1"/>
        <w:jc w:val="both"/>
        <w:rPr>
          <w:bCs/>
          <w:color w:val="000000"/>
        </w:rPr>
      </w:pPr>
      <w:r w:rsidRPr="00AC0437">
        <w:rPr>
          <w:bCs/>
          <w:color w:val="000000"/>
        </w:rPr>
        <w:t>веретеноклеточный;</w:t>
      </w:r>
    </w:p>
    <w:p w:rsidR="007765F3" w:rsidRPr="00AC0437" w:rsidRDefault="007765F3" w:rsidP="007765F3">
      <w:pPr>
        <w:autoSpaceDE w:val="0"/>
        <w:autoSpaceDN w:val="0"/>
        <w:adjustRightInd w:val="0"/>
        <w:ind w:left="708" w:firstLine="1"/>
        <w:jc w:val="both"/>
        <w:rPr>
          <w:bCs/>
          <w:color w:val="000000"/>
        </w:rPr>
      </w:pPr>
      <w:r w:rsidRPr="00AC0437">
        <w:rPr>
          <w:bCs/>
          <w:color w:val="000000"/>
        </w:rPr>
        <w:t>плеоморфный;</w:t>
      </w:r>
    </w:p>
    <w:p w:rsidR="007765F3" w:rsidRPr="00AC0437" w:rsidRDefault="007765F3" w:rsidP="007765F3">
      <w:pPr>
        <w:autoSpaceDE w:val="0"/>
        <w:autoSpaceDN w:val="0"/>
        <w:adjustRightInd w:val="0"/>
        <w:ind w:left="708" w:firstLine="1"/>
        <w:jc w:val="both"/>
        <w:rPr>
          <w:bCs/>
          <w:color w:val="000000"/>
        </w:rPr>
      </w:pPr>
      <w:r w:rsidRPr="00AC0437">
        <w:rPr>
          <w:bCs/>
          <w:color w:val="000000"/>
        </w:rPr>
        <w:t>с остеокластоподобными клетками.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13.1.5. Редко встречаются лимфоэпителиомоподобный гепатоцеллюлярный рак, рак с нейроэндокринной дифференцировкой. Вышеперечисленные гистологические и клеточные характеристики необходимо учитывать в процессе диагностики и дифференциальной диагностики.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/>
          <w:bCs/>
          <w:color w:val="000000"/>
        </w:rPr>
        <w:t>13.2.Степень злокачественности гепатоцеллюлярного рака</w:t>
      </w:r>
      <w:r w:rsidRPr="00AC0437">
        <w:rPr>
          <w:bCs/>
          <w:color w:val="000000"/>
        </w:rPr>
        <w:t xml:space="preserve"> определяют по системе Edmondson, Steiner (основано на сравнении опухолевой ткани с тканью нормальной печени):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GХ – степень злокачественности не может быть определена;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GI – высокая степень дифференцировки (опухолевые клетки практически не отличаются от гиперплазированных гепатоцитов, злокачественный характер процесса устанавливается по наличию инвазивного роста);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GII – умеренная степень дифференцировки (клетки напоминают нормальные гепатоциты, но с более крупными и гиперхромными ядрами, в просвете ацинусов содержится желчь);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 xml:space="preserve">GIII – низкая степень дифференцировки (опухолевые клетки имеют крупные гиперхромные ядра с высоким ядерно-цитоплазматическим отношением, цитоплазма зернистая, желчных пигментов нет, рост отдельных клеток в сосудистых пространствах); 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GIV – недифференцированная/анапластическая карцинома (резкая гиперхромазия ядер, диффузный рост, очаговое веретеноклеточное/мелкоклеточное строение). Метастазы карциномы редко развиваются в «цирротической» печени, на фоне цирроза развиваются первичные опухоли.</w:t>
      </w:r>
    </w:p>
    <w:p w:rsidR="007765F3" w:rsidRPr="00AC0437" w:rsidRDefault="007765F3" w:rsidP="007765F3">
      <w:pPr>
        <w:ind w:right="-1" w:firstLine="709"/>
      </w:pPr>
      <w:r w:rsidRPr="00AC0437">
        <w:rPr>
          <w:b/>
        </w:rPr>
        <w:lastRenderedPageBreak/>
        <w:t xml:space="preserve">13.3. Классификация </w:t>
      </w:r>
      <w:r w:rsidRPr="00AC0437">
        <w:rPr>
          <w:b/>
          <w:lang w:val="en-US"/>
        </w:rPr>
        <w:t>TNM</w:t>
      </w:r>
      <w:r w:rsidRPr="00AC0437">
        <w:t>(8-е издание, 2017 год)</w:t>
      </w:r>
      <w:r>
        <w:t>.</w:t>
      </w:r>
    </w:p>
    <w:p w:rsidR="007765F3" w:rsidRPr="00AC0437" w:rsidRDefault="007765F3" w:rsidP="007765F3">
      <w:pPr>
        <w:ind w:firstLine="709"/>
        <w:jc w:val="both"/>
      </w:pPr>
      <w:r w:rsidRPr="00AC0437">
        <w:t>13.3.1. Т – первичная опухоль.</w:t>
      </w:r>
    </w:p>
    <w:p w:rsidR="007765F3" w:rsidRPr="00AC0437" w:rsidRDefault="007765F3" w:rsidP="007765F3">
      <w:pPr>
        <w:ind w:firstLine="709"/>
        <w:rPr>
          <w:color w:val="000000"/>
        </w:rPr>
      </w:pPr>
      <w:r w:rsidRPr="00AC0437">
        <w:rPr>
          <w:color w:val="000000"/>
        </w:rPr>
        <w:t>Tх – недостаточно данных для оценки первичной опухоли</w:t>
      </w:r>
    </w:p>
    <w:p w:rsidR="007765F3" w:rsidRPr="00AC0437" w:rsidRDefault="007765F3" w:rsidP="007765F3">
      <w:pPr>
        <w:ind w:firstLine="709"/>
        <w:rPr>
          <w:color w:val="000000"/>
        </w:rPr>
      </w:pPr>
      <w:r w:rsidRPr="00AC0437">
        <w:rPr>
          <w:color w:val="000000"/>
        </w:rPr>
        <w:t>T0 – первичная опухоль не определяется</w:t>
      </w:r>
    </w:p>
    <w:p w:rsidR="007765F3" w:rsidRPr="00AC0437" w:rsidRDefault="007765F3" w:rsidP="007765F3">
      <w:pPr>
        <w:ind w:firstLine="709"/>
        <w:rPr>
          <w:color w:val="000000"/>
        </w:rPr>
      </w:pPr>
      <w:r w:rsidRPr="00AC0437">
        <w:rPr>
          <w:color w:val="000000"/>
          <w:lang w:val="en-US"/>
        </w:rPr>
        <w:t>T</w:t>
      </w:r>
      <w:r w:rsidRPr="00AC0437">
        <w:rPr>
          <w:color w:val="000000"/>
        </w:rPr>
        <w:t>1 – одиночная опухоль ≤2,0 см или &gt; 2, 0 см без сосудистой инвазии</w:t>
      </w:r>
    </w:p>
    <w:p w:rsidR="007765F3" w:rsidRPr="00AC0437" w:rsidRDefault="007765F3" w:rsidP="007765F3">
      <w:pPr>
        <w:ind w:firstLine="709"/>
        <w:rPr>
          <w:color w:val="000000"/>
        </w:rPr>
      </w:pPr>
      <w:r w:rsidRPr="00AC0437">
        <w:rPr>
          <w:color w:val="000000"/>
        </w:rPr>
        <w:t>Т1а – одиночная опухоль ≤2,0 см</w:t>
      </w:r>
    </w:p>
    <w:p w:rsidR="007765F3" w:rsidRPr="00AC0437" w:rsidRDefault="007765F3" w:rsidP="007765F3">
      <w:pPr>
        <w:ind w:firstLine="709"/>
        <w:rPr>
          <w:color w:val="000000"/>
        </w:rPr>
      </w:pPr>
      <w:r w:rsidRPr="00AC0437">
        <w:rPr>
          <w:color w:val="000000"/>
        </w:rPr>
        <w:t>Т1в – одиночная опухоль &gt;2, 0 см без сосудистой инвазии</w:t>
      </w:r>
    </w:p>
    <w:p w:rsidR="007765F3" w:rsidRPr="00AC0437" w:rsidRDefault="007765F3" w:rsidP="007765F3">
      <w:pPr>
        <w:ind w:firstLine="709"/>
        <w:rPr>
          <w:color w:val="000000"/>
        </w:rPr>
      </w:pPr>
      <w:r w:rsidRPr="00AC0437">
        <w:rPr>
          <w:color w:val="000000"/>
          <w:lang w:val="en-US"/>
        </w:rPr>
        <w:t>T</w:t>
      </w:r>
      <w:r w:rsidRPr="00AC0437">
        <w:rPr>
          <w:color w:val="000000"/>
        </w:rPr>
        <w:t>2 – одиночная опухоль &gt;2, 0 см с сосудистой инвазией или множественные опухоли ≤5 см</w:t>
      </w:r>
    </w:p>
    <w:p w:rsidR="007765F3" w:rsidRPr="00AC0437" w:rsidRDefault="007765F3" w:rsidP="007765F3">
      <w:pPr>
        <w:ind w:firstLine="709"/>
        <w:rPr>
          <w:color w:val="000000"/>
        </w:rPr>
      </w:pPr>
      <w:r w:rsidRPr="00AC0437">
        <w:rPr>
          <w:color w:val="000000"/>
          <w:lang w:val="en-US"/>
        </w:rPr>
        <w:t>T</w:t>
      </w:r>
      <w:r w:rsidRPr="00AC0437">
        <w:rPr>
          <w:color w:val="000000"/>
        </w:rPr>
        <w:t>3 – множественные опухоли, как минимум одна из которых &gt; 5 см</w:t>
      </w:r>
    </w:p>
    <w:p w:rsidR="007765F3" w:rsidRPr="00AC0437" w:rsidRDefault="007765F3" w:rsidP="007765F3">
      <w:pPr>
        <w:ind w:firstLine="709"/>
        <w:rPr>
          <w:color w:val="000000"/>
        </w:rPr>
      </w:pPr>
      <w:r w:rsidRPr="00AC0437">
        <w:rPr>
          <w:color w:val="000000"/>
          <w:lang w:val="en-US"/>
        </w:rPr>
        <w:t>T</w:t>
      </w:r>
      <w:r w:rsidRPr="00AC0437">
        <w:rPr>
          <w:color w:val="000000"/>
        </w:rPr>
        <w:t>4 – одиночная или множественные опухоли любого размера с инвазией крупных ветвей воротной или печеночных вен, или инвазией в соседние органы, исключая желчный пузырь, или прорастание висцеральной брюшины</w:t>
      </w:r>
    </w:p>
    <w:p w:rsidR="007765F3" w:rsidRPr="00AC0437" w:rsidRDefault="007765F3" w:rsidP="007765F3">
      <w:pPr>
        <w:ind w:firstLine="709"/>
        <w:jc w:val="both"/>
      </w:pPr>
      <w:r w:rsidRPr="00AC0437">
        <w:t>13.3.2. N – регионарные лимфатические узлы.</w:t>
      </w:r>
    </w:p>
    <w:p w:rsidR="007765F3" w:rsidRPr="00AC0437" w:rsidRDefault="007765F3" w:rsidP="007765F3">
      <w:pPr>
        <w:ind w:right="-1" w:firstLine="709"/>
        <w:rPr>
          <w:color w:val="000000"/>
        </w:rPr>
      </w:pPr>
      <w:r w:rsidRPr="00AC0437">
        <w:rPr>
          <w:color w:val="000000"/>
          <w:lang w:val="en-US"/>
        </w:rPr>
        <w:t>Nx</w:t>
      </w:r>
      <w:r w:rsidRPr="00AC0437">
        <w:rPr>
          <w:color w:val="000000"/>
        </w:rPr>
        <w:t xml:space="preserve"> – недостаточно данных для оценки поражения лимфоузлов</w:t>
      </w:r>
    </w:p>
    <w:p w:rsidR="007765F3" w:rsidRPr="00AC0437" w:rsidRDefault="007765F3" w:rsidP="007765F3">
      <w:pPr>
        <w:ind w:right="-1" w:firstLine="709"/>
        <w:jc w:val="both"/>
        <w:rPr>
          <w:color w:val="000000"/>
        </w:rPr>
      </w:pPr>
      <w:r w:rsidRPr="00AC0437">
        <w:rPr>
          <w:color w:val="000000"/>
          <w:lang w:val="en-US"/>
        </w:rPr>
        <w:t>N</w:t>
      </w:r>
      <w:r w:rsidRPr="00AC0437">
        <w:rPr>
          <w:color w:val="000000"/>
        </w:rPr>
        <w:t>0 – нет признаков метастатического поражения регионарных лимфатических узлов</w:t>
      </w:r>
    </w:p>
    <w:p w:rsidR="007765F3" w:rsidRPr="00AC0437" w:rsidRDefault="007765F3" w:rsidP="007765F3">
      <w:pPr>
        <w:ind w:right="-1" w:firstLine="709"/>
        <w:rPr>
          <w:color w:val="000000"/>
        </w:rPr>
      </w:pPr>
      <w:r w:rsidRPr="00AC0437">
        <w:rPr>
          <w:color w:val="000000"/>
          <w:lang w:val="en-US"/>
        </w:rPr>
        <w:t>N</w:t>
      </w:r>
      <w:r w:rsidRPr="00AC0437">
        <w:rPr>
          <w:color w:val="000000"/>
        </w:rPr>
        <w:t>1 – есть поражение региональных л/у (л/у ворот печени, вдоль НПВ, вдоль общей печеночной артерии)</w:t>
      </w:r>
    </w:p>
    <w:p w:rsidR="007765F3" w:rsidRPr="00AC0437" w:rsidRDefault="007765F3" w:rsidP="007765F3">
      <w:pPr>
        <w:ind w:firstLine="709"/>
        <w:jc w:val="both"/>
      </w:pPr>
      <w:r w:rsidRPr="00AC0437">
        <w:t>13.3.3. М – отдаленные метастазы.</w:t>
      </w:r>
    </w:p>
    <w:p w:rsidR="007765F3" w:rsidRPr="00AC0437" w:rsidRDefault="007765F3" w:rsidP="007765F3">
      <w:pPr>
        <w:ind w:right="-1" w:firstLine="709"/>
        <w:rPr>
          <w:color w:val="000000"/>
        </w:rPr>
      </w:pPr>
      <w:r w:rsidRPr="00AC0437">
        <w:rPr>
          <w:color w:val="000000"/>
        </w:rPr>
        <w:t>М0 – нет отдаленных метастазов</w:t>
      </w:r>
    </w:p>
    <w:p w:rsidR="007765F3" w:rsidRPr="00AC0437" w:rsidRDefault="007765F3" w:rsidP="007765F3">
      <w:pPr>
        <w:ind w:right="-1" w:firstLine="709"/>
        <w:rPr>
          <w:color w:val="000000"/>
        </w:rPr>
      </w:pPr>
      <w:r w:rsidRPr="00AC0437">
        <w:rPr>
          <w:color w:val="000000"/>
        </w:rPr>
        <w:t>М1 – есть отдаленные метастазы</w:t>
      </w:r>
    </w:p>
    <w:p w:rsidR="007765F3" w:rsidRPr="00AC0437" w:rsidRDefault="007765F3" w:rsidP="007765F3">
      <w:pPr>
        <w:ind w:firstLine="709"/>
        <w:jc w:val="both"/>
      </w:pPr>
      <w:r w:rsidRPr="00AC0437">
        <w:t>13.3.4. Патологическая классификация pTNM.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>Категории рТ, pN соответствуют категориям Т и N.</w:t>
      </w:r>
    </w:p>
    <w:p w:rsidR="007765F3" w:rsidRPr="005E011B" w:rsidRDefault="007765F3" w:rsidP="007765F3">
      <w:pPr>
        <w:autoSpaceDE w:val="0"/>
        <w:autoSpaceDN w:val="0"/>
        <w:adjustRightInd w:val="0"/>
        <w:ind w:firstLine="708"/>
        <w:jc w:val="both"/>
        <w:rPr>
          <w:iCs/>
        </w:rPr>
      </w:pPr>
      <w:r w:rsidRPr="00AC0437">
        <w:rPr>
          <w:color w:val="000000"/>
        </w:rPr>
        <w:t xml:space="preserve">pN0 – </w:t>
      </w:r>
      <w:r w:rsidRPr="00AC0437">
        <w:t>г</w:t>
      </w:r>
      <w:r w:rsidRPr="00AC0437">
        <w:rPr>
          <w:iCs/>
        </w:rPr>
        <w:t>истологическое заключение о состоянии регионарных лимфоузлов должно быть основано на исследовании не менее 3-х лимфатических узлов. Группировка по с</w:t>
      </w:r>
      <w:r>
        <w:rPr>
          <w:iCs/>
        </w:rPr>
        <w:t>тадиям отражена в таблице 13.1.</w:t>
      </w:r>
    </w:p>
    <w:p w:rsidR="007765F3" w:rsidRPr="00AC0437" w:rsidRDefault="007765F3" w:rsidP="007765F3">
      <w:pPr>
        <w:jc w:val="right"/>
      </w:pPr>
      <w:r w:rsidRPr="00AC0437">
        <w:lastRenderedPageBreak/>
        <w:t>Таблица 13.2</w:t>
      </w:r>
    </w:p>
    <w:p w:rsidR="007765F3" w:rsidRPr="00AC0437" w:rsidRDefault="007765F3" w:rsidP="007765F3">
      <w:pPr>
        <w:ind w:firstLine="709"/>
        <w:rPr>
          <w:b/>
        </w:rPr>
      </w:pPr>
      <w:r w:rsidRPr="00AC0437">
        <w:t>Группировка по стадиям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7371"/>
      </w:tblGrid>
      <w:tr w:rsidR="007765F3" w:rsidRPr="00AC0437" w:rsidTr="0091738A">
        <w:tc>
          <w:tcPr>
            <w:tcW w:w="2268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0437">
              <w:rPr>
                <w:color w:val="000000"/>
              </w:rPr>
              <w:t>Стадия Iа</w:t>
            </w:r>
          </w:p>
        </w:tc>
        <w:tc>
          <w:tcPr>
            <w:tcW w:w="7371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0437">
              <w:rPr>
                <w:color w:val="000000"/>
              </w:rPr>
              <w:t>T1аN0M0</w:t>
            </w:r>
          </w:p>
        </w:tc>
      </w:tr>
      <w:tr w:rsidR="007765F3" w:rsidRPr="00AC0437" w:rsidTr="0091738A">
        <w:tc>
          <w:tcPr>
            <w:tcW w:w="2268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0437">
              <w:rPr>
                <w:color w:val="000000"/>
              </w:rPr>
              <w:t>Стадия Iв</w:t>
            </w:r>
          </w:p>
        </w:tc>
        <w:tc>
          <w:tcPr>
            <w:tcW w:w="7371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0437">
              <w:rPr>
                <w:color w:val="000000"/>
              </w:rPr>
              <w:t>T1вN0M0</w:t>
            </w:r>
          </w:p>
        </w:tc>
      </w:tr>
      <w:tr w:rsidR="007765F3" w:rsidRPr="00AC0437" w:rsidTr="0091738A">
        <w:tc>
          <w:tcPr>
            <w:tcW w:w="2268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0437">
              <w:rPr>
                <w:color w:val="000000"/>
              </w:rPr>
              <w:t>Стадия II</w:t>
            </w:r>
          </w:p>
        </w:tc>
        <w:tc>
          <w:tcPr>
            <w:tcW w:w="7371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0437">
              <w:rPr>
                <w:color w:val="000000"/>
              </w:rPr>
              <w:t>T2N0M0</w:t>
            </w:r>
          </w:p>
        </w:tc>
      </w:tr>
      <w:tr w:rsidR="007765F3" w:rsidRPr="00AC0437" w:rsidTr="0091738A">
        <w:tc>
          <w:tcPr>
            <w:tcW w:w="2268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0437">
              <w:rPr>
                <w:color w:val="000000"/>
              </w:rPr>
              <w:t>Стадия IIIA</w:t>
            </w:r>
          </w:p>
        </w:tc>
        <w:tc>
          <w:tcPr>
            <w:tcW w:w="7371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0437">
              <w:rPr>
                <w:color w:val="000000"/>
              </w:rPr>
              <w:t>T3N0M0</w:t>
            </w:r>
          </w:p>
        </w:tc>
      </w:tr>
      <w:tr w:rsidR="007765F3" w:rsidRPr="00AC0437" w:rsidTr="0091738A">
        <w:tc>
          <w:tcPr>
            <w:tcW w:w="2268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0437">
              <w:rPr>
                <w:color w:val="000000"/>
              </w:rPr>
              <w:t>Стадия IIIВ</w:t>
            </w:r>
          </w:p>
        </w:tc>
        <w:tc>
          <w:tcPr>
            <w:tcW w:w="7371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0437">
              <w:rPr>
                <w:color w:val="000000"/>
              </w:rPr>
              <w:t>T4N0M0</w:t>
            </w:r>
          </w:p>
        </w:tc>
      </w:tr>
      <w:tr w:rsidR="007765F3" w:rsidRPr="00AC0437" w:rsidTr="0091738A">
        <w:tc>
          <w:tcPr>
            <w:tcW w:w="2268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0437">
              <w:rPr>
                <w:color w:val="000000"/>
              </w:rPr>
              <w:t>Стадия IVА</w:t>
            </w:r>
          </w:p>
        </w:tc>
        <w:tc>
          <w:tcPr>
            <w:tcW w:w="7371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0437">
              <w:rPr>
                <w:color w:val="000000"/>
              </w:rPr>
              <w:t>любая TN1M0</w:t>
            </w:r>
          </w:p>
        </w:tc>
      </w:tr>
      <w:tr w:rsidR="007765F3" w:rsidRPr="00AC0437" w:rsidTr="0091738A">
        <w:tc>
          <w:tcPr>
            <w:tcW w:w="2268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C0437">
              <w:rPr>
                <w:color w:val="000000"/>
              </w:rPr>
              <w:t>Стадия IVБ</w:t>
            </w:r>
          </w:p>
        </w:tc>
        <w:tc>
          <w:tcPr>
            <w:tcW w:w="7371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0437">
              <w:rPr>
                <w:color w:val="000000"/>
              </w:rPr>
              <w:t>любая T любая NM1</w:t>
            </w:r>
          </w:p>
        </w:tc>
      </w:tr>
    </w:tbl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iCs/>
        </w:rPr>
      </w:pPr>
      <w:r w:rsidRPr="00AC0437">
        <w:rPr>
          <w:b/>
        </w:rPr>
        <w:t>13.4. Другие классификации.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13.4.1. Для определения тактики лечения </w:t>
      </w:r>
      <w:r w:rsidRPr="00AC0437">
        <w:rPr>
          <w:color w:val="000000"/>
          <w:lang w:val="en-US"/>
        </w:rPr>
        <w:t>TNM</w:t>
      </w:r>
      <w:r w:rsidRPr="00AC0437">
        <w:rPr>
          <w:color w:val="000000"/>
        </w:rPr>
        <w:t xml:space="preserve"> стадирования недостаточно, что обусловлено наличием сопутствующих заболеваний печени и, в частности, цирроза печени у большинства пациентов ГЦР. Общепризнанная классификацияChild-Рugh позволяет установить тяжесть цирроза печени (</w:t>
      </w:r>
      <w:r w:rsidRPr="00AC0437">
        <w:t>таблица 13.2)</w:t>
      </w:r>
      <w:r w:rsidRPr="00AC0437">
        <w:rPr>
          <w:color w:val="000000"/>
        </w:rPr>
        <w:t>.</w:t>
      </w:r>
    </w:p>
    <w:p w:rsidR="007765F3" w:rsidRPr="00AC0437" w:rsidRDefault="007765F3" w:rsidP="007765F3">
      <w:pPr>
        <w:jc w:val="right"/>
        <w:rPr>
          <w:color w:val="000000"/>
        </w:rPr>
      </w:pPr>
      <w:r w:rsidRPr="00AC0437">
        <w:rPr>
          <w:color w:val="000000"/>
        </w:rPr>
        <w:t>Таблица 13.3</w:t>
      </w:r>
    </w:p>
    <w:p w:rsidR="007765F3" w:rsidRPr="00AC0437" w:rsidRDefault="007765F3" w:rsidP="007765F3">
      <w:pPr>
        <w:ind w:firstLine="709"/>
        <w:rPr>
          <w:b/>
        </w:rPr>
      </w:pPr>
      <w:r w:rsidRPr="00AC0437">
        <w:rPr>
          <w:color w:val="000000"/>
        </w:rPr>
        <w:t xml:space="preserve">Классификация степени тяжести цирроза печени поChild-Рugh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8"/>
        <w:gridCol w:w="2217"/>
        <w:gridCol w:w="2317"/>
        <w:gridCol w:w="1751"/>
      </w:tblGrid>
      <w:tr w:rsidR="007765F3" w:rsidRPr="00AC0437" w:rsidTr="0091738A">
        <w:trPr>
          <w:trHeight w:val="143"/>
        </w:trPr>
        <w:tc>
          <w:tcPr>
            <w:tcW w:w="3261" w:type="dxa"/>
            <w:vMerge w:val="restart"/>
            <w:shd w:val="clear" w:color="auto" w:fill="F3F3F3"/>
            <w:vAlign w:val="center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Параметр</w:t>
            </w:r>
          </w:p>
        </w:tc>
        <w:tc>
          <w:tcPr>
            <w:tcW w:w="6378" w:type="dxa"/>
            <w:gridSpan w:val="3"/>
            <w:shd w:val="clear" w:color="auto" w:fill="F3F3F3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количество баллов</w:t>
            </w:r>
          </w:p>
        </w:tc>
      </w:tr>
      <w:tr w:rsidR="007765F3" w:rsidRPr="00AC0437" w:rsidTr="0091738A">
        <w:trPr>
          <w:trHeight w:val="142"/>
        </w:trPr>
        <w:tc>
          <w:tcPr>
            <w:tcW w:w="3261" w:type="dxa"/>
            <w:vMerge/>
            <w:shd w:val="clear" w:color="auto" w:fill="F3F3F3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F3F3F3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1</w:t>
            </w:r>
          </w:p>
        </w:tc>
        <w:tc>
          <w:tcPr>
            <w:tcW w:w="2338" w:type="dxa"/>
            <w:shd w:val="clear" w:color="auto" w:fill="F3F3F3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2</w:t>
            </w:r>
          </w:p>
        </w:tc>
        <w:tc>
          <w:tcPr>
            <w:tcW w:w="1772" w:type="dxa"/>
            <w:shd w:val="clear" w:color="auto" w:fill="F3F3F3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3</w:t>
            </w:r>
          </w:p>
        </w:tc>
      </w:tr>
      <w:tr w:rsidR="007765F3" w:rsidRPr="00AC0437" w:rsidTr="0091738A">
        <w:tc>
          <w:tcPr>
            <w:tcW w:w="3261" w:type="dxa"/>
          </w:tcPr>
          <w:p w:rsidR="007765F3" w:rsidRPr="00AC0437" w:rsidRDefault="007765F3" w:rsidP="0091738A">
            <w:pPr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асцит</w:t>
            </w:r>
          </w:p>
        </w:tc>
        <w:tc>
          <w:tcPr>
            <w:tcW w:w="226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отсутствует</w:t>
            </w:r>
          </w:p>
        </w:tc>
        <w:tc>
          <w:tcPr>
            <w:tcW w:w="233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незначительный</w:t>
            </w:r>
          </w:p>
        </w:tc>
        <w:tc>
          <w:tcPr>
            <w:tcW w:w="1772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умеренный</w:t>
            </w:r>
          </w:p>
        </w:tc>
      </w:tr>
      <w:tr w:rsidR="007765F3" w:rsidRPr="00AC0437" w:rsidTr="0091738A">
        <w:tc>
          <w:tcPr>
            <w:tcW w:w="3261" w:type="dxa"/>
          </w:tcPr>
          <w:p w:rsidR="007765F3" w:rsidRPr="00AC0437" w:rsidRDefault="007765F3" w:rsidP="0091738A">
            <w:pPr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билирубин, мг/дл</w:t>
            </w:r>
          </w:p>
        </w:tc>
        <w:tc>
          <w:tcPr>
            <w:tcW w:w="226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≤2</w:t>
            </w:r>
          </w:p>
        </w:tc>
        <w:tc>
          <w:tcPr>
            <w:tcW w:w="233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2-3</w:t>
            </w:r>
          </w:p>
        </w:tc>
        <w:tc>
          <w:tcPr>
            <w:tcW w:w="1772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&gt;3</w:t>
            </w:r>
          </w:p>
        </w:tc>
      </w:tr>
      <w:tr w:rsidR="007765F3" w:rsidRPr="00AC0437" w:rsidTr="0091738A">
        <w:tc>
          <w:tcPr>
            <w:tcW w:w="3261" w:type="dxa"/>
          </w:tcPr>
          <w:p w:rsidR="007765F3" w:rsidRPr="00AC0437" w:rsidRDefault="007765F3" w:rsidP="0091738A">
            <w:pPr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альбумин, г/дл</w:t>
            </w:r>
          </w:p>
        </w:tc>
        <w:tc>
          <w:tcPr>
            <w:tcW w:w="226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&gt;3,5</w:t>
            </w:r>
          </w:p>
        </w:tc>
        <w:tc>
          <w:tcPr>
            <w:tcW w:w="233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2,8-3,5</w:t>
            </w:r>
          </w:p>
        </w:tc>
        <w:tc>
          <w:tcPr>
            <w:tcW w:w="1772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&lt;2,8</w:t>
            </w:r>
          </w:p>
        </w:tc>
      </w:tr>
      <w:tr w:rsidR="007765F3" w:rsidRPr="00AC0437" w:rsidTr="0091738A">
        <w:tc>
          <w:tcPr>
            <w:tcW w:w="3261" w:type="dxa"/>
          </w:tcPr>
          <w:p w:rsidR="007765F3" w:rsidRPr="00AC0437" w:rsidRDefault="007765F3" w:rsidP="0091738A">
            <w:pPr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протромбиновое время:</w:t>
            </w:r>
          </w:p>
        </w:tc>
        <w:tc>
          <w:tcPr>
            <w:tcW w:w="226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2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</w:p>
        </w:tc>
      </w:tr>
      <w:tr w:rsidR="007765F3" w:rsidRPr="00AC0437" w:rsidTr="0091738A">
        <w:tc>
          <w:tcPr>
            <w:tcW w:w="3261" w:type="dxa"/>
          </w:tcPr>
          <w:p w:rsidR="007765F3" w:rsidRPr="00AC0437" w:rsidRDefault="007765F3" w:rsidP="0091738A">
            <w:pPr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секунды до реакции</w:t>
            </w:r>
          </w:p>
        </w:tc>
        <w:tc>
          <w:tcPr>
            <w:tcW w:w="226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1-3</w:t>
            </w:r>
          </w:p>
        </w:tc>
        <w:tc>
          <w:tcPr>
            <w:tcW w:w="233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4-6</w:t>
            </w:r>
          </w:p>
        </w:tc>
        <w:tc>
          <w:tcPr>
            <w:tcW w:w="1772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&gt;6</w:t>
            </w:r>
          </w:p>
        </w:tc>
      </w:tr>
      <w:tr w:rsidR="007765F3" w:rsidRPr="00AC0437" w:rsidTr="0091738A">
        <w:tc>
          <w:tcPr>
            <w:tcW w:w="3261" w:type="dxa"/>
          </w:tcPr>
          <w:p w:rsidR="007765F3" w:rsidRPr="00AC0437" w:rsidRDefault="007765F3" w:rsidP="0091738A">
            <w:pPr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МНО</w:t>
            </w:r>
          </w:p>
        </w:tc>
        <w:tc>
          <w:tcPr>
            <w:tcW w:w="226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&lt;1,8</w:t>
            </w:r>
          </w:p>
        </w:tc>
        <w:tc>
          <w:tcPr>
            <w:tcW w:w="233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1,8-2,3</w:t>
            </w:r>
          </w:p>
        </w:tc>
        <w:tc>
          <w:tcPr>
            <w:tcW w:w="1772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&gt;2,3</w:t>
            </w:r>
          </w:p>
        </w:tc>
      </w:tr>
      <w:tr w:rsidR="007765F3" w:rsidRPr="00AC0437" w:rsidTr="0091738A">
        <w:tc>
          <w:tcPr>
            <w:tcW w:w="3261" w:type="dxa"/>
          </w:tcPr>
          <w:p w:rsidR="007765F3" w:rsidRPr="00AC0437" w:rsidRDefault="007765F3" w:rsidP="0091738A">
            <w:pPr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энцефалопатия</w:t>
            </w:r>
          </w:p>
        </w:tc>
        <w:tc>
          <w:tcPr>
            <w:tcW w:w="226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нет</w:t>
            </w:r>
          </w:p>
        </w:tc>
        <w:tc>
          <w:tcPr>
            <w:tcW w:w="2338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грейд 1-2</w:t>
            </w:r>
          </w:p>
        </w:tc>
        <w:tc>
          <w:tcPr>
            <w:tcW w:w="1772" w:type="dxa"/>
          </w:tcPr>
          <w:p w:rsidR="007765F3" w:rsidRPr="00AC0437" w:rsidRDefault="007765F3" w:rsidP="0091738A">
            <w:pPr>
              <w:jc w:val="center"/>
              <w:rPr>
                <w:sz w:val="26"/>
                <w:szCs w:val="26"/>
              </w:rPr>
            </w:pPr>
            <w:r w:rsidRPr="00AC0437">
              <w:rPr>
                <w:sz w:val="26"/>
                <w:szCs w:val="26"/>
              </w:rPr>
              <w:t>грейд 3-4</w:t>
            </w:r>
          </w:p>
        </w:tc>
      </w:tr>
    </w:tbl>
    <w:p w:rsidR="007765F3" w:rsidRPr="00AC0437" w:rsidRDefault="007765F3" w:rsidP="007765F3">
      <w:pPr>
        <w:jc w:val="both"/>
        <w:rPr>
          <w:sz w:val="16"/>
          <w:szCs w:val="16"/>
        </w:rPr>
      </w:pPr>
    </w:p>
    <w:p w:rsidR="007765F3" w:rsidRPr="00AC0437" w:rsidRDefault="007765F3" w:rsidP="007765F3">
      <w:pPr>
        <w:ind w:firstLine="708"/>
        <w:jc w:val="both"/>
      </w:pPr>
      <w:r w:rsidRPr="00AC0437">
        <w:lastRenderedPageBreak/>
        <w:t>Интерпретация:</w:t>
      </w:r>
    </w:p>
    <w:p w:rsidR="007765F3" w:rsidRPr="00AC0437" w:rsidRDefault="007765F3" w:rsidP="007765F3">
      <w:pPr>
        <w:ind w:firstLine="708"/>
        <w:jc w:val="both"/>
      </w:pPr>
      <w:r w:rsidRPr="00AC0437">
        <w:t>5-6 баллов – А класс (легко компенсированное заболевание),</w:t>
      </w:r>
    </w:p>
    <w:p w:rsidR="007765F3" w:rsidRPr="00AC0437" w:rsidRDefault="007765F3" w:rsidP="007765F3">
      <w:pPr>
        <w:ind w:firstLine="708"/>
        <w:jc w:val="both"/>
      </w:pPr>
      <w:r w:rsidRPr="00AC0437">
        <w:t>7-9 баллов – Б класс (значительные нарушения функции)</w:t>
      </w:r>
    </w:p>
    <w:p w:rsidR="007765F3" w:rsidRPr="00AC0437" w:rsidRDefault="007765F3" w:rsidP="007765F3">
      <w:pPr>
        <w:ind w:firstLine="708"/>
        <w:jc w:val="both"/>
      </w:pPr>
      <w:r w:rsidRPr="00AC0437">
        <w:t xml:space="preserve">10-15 баллов – класс С (декомпенсированное заболевание).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rPr>
          <w:b/>
          <w:bCs/>
          <w:color w:val="000000"/>
        </w:rPr>
      </w:pPr>
      <w:r w:rsidRPr="00AC0437">
        <w:rPr>
          <w:b/>
          <w:bCs/>
          <w:color w:val="000000"/>
        </w:rPr>
        <w:t>13.5. Группы риска и сроки наблюдения.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К группе повышенного риска ГЦР относятся пациенты с циррозом печени любой этиологии, история заболевания гепатитом Б без цирроза. С целью выявления раннего рака проводится УЗИ органов брюшной полости и определение уровня АФП с интервалом в 6-12 месяцев.</w:t>
      </w:r>
    </w:p>
    <w:p w:rsidR="007765F3" w:rsidRPr="00AC0437" w:rsidRDefault="007765F3" w:rsidP="007765F3">
      <w:pPr>
        <w:ind w:firstLine="709"/>
        <w:jc w:val="both"/>
        <w:rPr>
          <w:b/>
        </w:rPr>
      </w:pPr>
      <w:r w:rsidRPr="00AC0437">
        <w:rPr>
          <w:b/>
        </w:rPr>
        <w:t>13.6. Диагностические мероприятия.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13.6.1. Оценка клинического статуса пациента (КСП)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13.6.2. Лабораторные исследования: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группа крови и резус-фактор;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серореакция на сифилис (по показаниям);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выявление поверхностного антигена вируса гепатита В (HВ</w:t>
      </w:r>
      <w:r w:rsidRPr="00AC0437">
        <w:rPr>
          <w:color w:val="000000"/>
          <w:lang w:val="en-US"/>
        </w:rPr>
        <w:t>s</w:t>
      </w:r>
      <w:r w:rsidRPr="00AC0437">
        <w:rPr>
          <w:color w:val="000000"/>
        </w:rPr>
        <w:t xml:space="preserve">Ag), а также антител к вирусам гепатита В и С; 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 xml:space="preserve">качественное определение ДНК/РНК вирусов гепатита В/С. В случае положительного результата – использование методик количественного определения вирусов, определение антител к вирусам, антигенам (по показаниям); 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общий анализ крови;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общий анализ мочи;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биохимическое исследование крови (общий белок, мочевина, креатинин, билирубин, глюкоза, АсАТ, АлАТ, ЛДГ, щелочная фосфатаза, альбумин, электролиты – К, Na, Са, Cl);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опухолевые маркеры (АФП);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коагулограмма (АЧТВ, ПВ, ТВ, МНО, фибриноген) – на этапе предоперационной подготовки.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lastRenderedPageBreak/>
        <w:t>13.6.3. Инструментальная, интраскопическая и инвазивная диагностика: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ЭКГ;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Компьютерная томография органов грудной клетки;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эзофагогастродуоденоскопия;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УЗИ органов брюшной полости и забрюшинного пространства, сосудов печени и нижней полой вены;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 xml:space="preserve">компьютерная томография органов брюшной полости с внутривенным болюсным контрастным усилением; 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биопсия опухоли и печени (степень фиброза), цитологическое и гистологическое исследование материала (при АФП &gt;400 или при росте АФП в динамике у пациентов в группах риска при визуализации очаговых образованиях и типичной картине ГЦР при компьютерной томографии биопсия печени не проводится).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13.6.4. По показаниям: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волюмометрия печени, опухоли и остающейся паренхимы печени по данным компьютерной томографии органов брюшной полости с внутривенным болюсным контрастным усилением;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МРТ с внутривенным контрастированием;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ангиографическое исследование печени;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колоноскопия, ирригоскопия (по показаниям);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гепатосцинтиграфия.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По дополнительным показаниям при клинически заподозренной генерализации и/или нерезектабельности опухолевого процесса, сцинтиграфия костей скелета, ФДГ ПЭТ-КТ. Допустимо также выполнение лапароскопии и/или диагностической лапаротомии.</w:t>
      </w:r>
    </w:p>
    <w:p w:rsidR="007765F3" w:rsidRPr="00AC0437" w:rsidRDefault="007765F3" w:rsidP="007765F3">
      <w:pPr>
        <w:ind w:firstLine="709"/>
        <w:jc w:val="both"/>
        <w:rPr>
          <w:b/>
        </w:rPr>
      </w:pPr>
      <w:r w:rsidRPr="00AC0437">
        <w:rPr>
          <w:b/>
        </w:rPr>
        <w:t>13.7. Общие принципы лечения.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</w:pPr>
      <w:r w:rsidRPr="00AC0437">
        <w:t xml:space="preserve">Лечение каждого пациента ГЦР определяется консилиумом с участием хирурга, интервенционного радиолога, химиотерапевта, радиолога, терапевта. Тактика лечения пациентов ГЦР зависит от наличия или отсутствия цирроза печени, распространенности болезни, характера роста </w:t>
      </w:r>
      <w:r w:rsidRPr="00AC0437">
        <w:lastRenderedPageBreak/>
        <w:t xml:space="preserve">опухоли, функциональных резервов печени, а также КСП. Возможные варианты лечения включают хирургическое лечение (резекцию печени и ОТП), рентгеноэндоваскулярные и аблационные методики, лучевую и цитостатическую терапию. </w:t>
      </w:r>
    </w:p>
    <w:p w:rsidR="007765F3" w:rsidRPr="00AC0437" w:rsidRDefault="007765F3" w:rsidP="007765F3">
      <w:pPr>
        <w:ind w:firstLine="708"/>
        <w:jc w:val="both"/>
      </w:pPr>
      <w:r w:rsidRPr="00AC0437">
        <w:t xml:space="preserve">Для определения тактики и прогнозирования результатов лечения целесообразно помимо </w:t>
      </w:r>
      <w:r w:rsidRPr="00AC0437">
        <w:rPr>
          <w:lang w:val="en-US"/>
        </w:rPr>
        <w:t>TNM</w:t>
      </w:r>
      <w:r w:rsidRPr="00AC0437">
        <w:t xml:space="preserve"> стадирования и классификации </w:t>
      </w:r>
      <w:r w:rsidRPr="00AC0437">
        <w:rPr>
          <w:lang w:val="en-US"/>
        </w:rPr>
        <w:t>Child</w:t>
      </w:r>
      <w:r w:rsidRPr="00AC0437">
        <w:t>-Р</w:t>
      </w:r>
      <w:r w:rsidRPr="00AC0437">
        <w:rPr>
          <w:lang w:val="en-US"/>
        </w:rPr>
        <w:t>ugh</w:t>
      </w:r>
      <w:r w:rsidRPr="00AC0437">
        <w:t xml:space="preserve"> руководствоваться единственной обоснованной внешней валидизацией прогностической моделью АЛБИ. В разработанной на основании анализа результатов лечения пациентов с ГЦР на фоне цирроза модели учитываются только два показателя: концентрация в крови альбумина в г/л и билирубина в ммоль/л. Интегрированный показатель вычисляется по формуле: </w:t>
      </w:r>
      <w:r>
        <w:t>Показатель = (log10 билирубин ×</w:t>
      </w:r>
      <w:r w:rsidRPr="00AC0437">
        <w:t>0.66) + (альбумин × -.085). Прогностическая модель АЛБИ включает три диапазона интегрированного показателя, в зависимости от чего общая выживаемость пациентов статистически значимо различается (таблица 13.3).</w:t>
      </w:r>
    </w:p>
    <w:p w:rsidR="007765F3" w:rsidRPr="00AC0437" w:rsidRDefault="007765F3" w:rsidP="007765F3">
      <w:pPr>
        <w:jc w:val="right"/>
      </w:pPr>
      <w:r w:rsidRPr="00AC0437">
        <w:t>Таблица 13.4</w:t>
      </w:r>
    </w:p>
    <w:p w:rsidR="007765F3" w:rsidRPr="00AC0437" w:rsidRDefault="007765F3" w:rsidP="007765F3">
      <w:pPr>
        <w:ind w:firstLine="709"/>
        <w:jc w:val="both"/>
      </w:pPr>
      <w:r w:rsidRPr="00AC0437">
        <w:t>Прогностическая модель АЛБИ</w:t>
      </w:r>
    </w:p>
    <w:tbl>
      <w:tblPr>
        <w:tblW w:w="9497" w:type="dxa"/>
        <w:tblInd w:w="250" w:type="dxa"/>
        <w:tblCellMar>
          <w:left w:w="0" w:type="dxa"/>
          <w:right w:w="0" w:type="dxa"/>
        </w:tblCellMar>
        <w:tblLook w:val="04A0"/>
      </w:tblPr>
      <w:tblGrid>
        <w:gridCol w:w="2200"/>
        <w:gridCol w:w="1400"/>
        <w:gridCol w:w="2637"/>
        <w:gridCol w:w="3260"/>
      </w:tblGrid>
      <w:tr w:rsidR="007765F3" w:rsidRPr="00AC0437" w:rsidTr="0091738A"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left="-108" w:firstLine="34"/>
              <w:jc w:val="center"/>
            </w:pPr>
            <w:r w:rsidRPr="00AC0437">
              <w:t>Показатель АЛБИ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Грейд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Медиана общей выживаемости при хирургическом лечении, мес.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Медиана общей выживаемости при системной терапии*, мес.</w:t>
            </w:r>
          </w:p>
        </w:tc>
      </w:tr>
      <w:tr w:rsidR="007765F3" w:rsidRPr="00AC0437" w:rsidTr="0091738A"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≤ -2,6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А1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85,6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12,7</w:t>
            </w:r>
          </w:p>
        </w:tc>
      </w:tr>
      <w:tr w:rsidR="007765F3" w:rsidRPr="00AC0437" w:rsidTr="0091738A"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-2,6&gt; ≥ -1,39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А2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46,5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7,2</w:t>
            </w:r>
          </w:p>
        </w:tc>
      </w:tr>
      <w:tr w:rsidR="007765F3" w:rsidRPr="00AC0437" w:rsidTr="0091738A"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&gt; -1,39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А3</w:t>
            </w:r>
          </w:p>
        </w:tc>
        <w:tc>
          <w:tcPr>
            <w:tcW w:w="2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15,5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765F3" w:rsidRPr="00AC0437" w:rsidRDefault="007765F3" w:rsidP="0091738A">
            <w:pPr>
              <w:ind w:firstLine="34"/>
              <w:jc w:val="center"/>
            </w:pPr>
            <w:r w:rsidRPr="00AC0437">
              <w:t>3,6</w:t>
            </w:r>
          </w:p>
        </w:tc>
      </w:tr>
    </w:tbl>
    <w:p w:rsidR="007765F3" w:rsidRPr="00AC0437" w:rsidRDefault="007765F3" w:rsidP="007765F3">
      <w:pPr>
        <w:ind w:firstLine="708"/>
        <w:jc w:val="both"/>
      </w:pPr>
      <w:r w:rsidRPr="00AC0437">
        <w:t>*выживаемость пациентов с нерезектабельными или рецидивными опухолями по результатам клинических испытаний с использованием сорафениба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Cs/>
          <w:color w:val="000000"/>
        </w:rPr>
      </w:pPr>
      <w:r w:rsidRPr="00AC0437">
        <w:rPr>
          <w:rFonts w:ascii="TimesNewRomanPS-BoldMT" w:hAnsi="TimesNewRomanPS-BoldMT" w:cs="TimesNewRomanPS-BoldMT"/>
          <w:bCs/>
          <w:color w:val="000000"/>
        </w:rPr>
        <w:t>13.7.1. Хирургическое лечение.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bCs/>
          <w:color w:val="000000"/>
        </w:rPr>
        <w:t xml:space="preserve">13.7.1.1. </w:t>
      </w:r>
      <w:r w:rsidRPr="00AC0437">
        <w:rPr>
          <w:color w:val="000000"/>
        </w:rPr>
        <w:t>Резекция печени.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Основным методом лечения пациентов с резектабельным ГЦР и КСП 0-1 является хирургический. При ограниченных резервах печени последовательное применение ХЭПА и через 3-6 недель предоперационной эмболизации воротной вены (ПЭВВ) с целью увеличения объема остающейся </w:t>
      </w:r>
      <w:r w:rsidRPr="00AC0437">
        <w:rPr>
          <w:color w:val="000000"/>
        </w:rPr>
        <w:lastRenderedPageBreak/>
        <w:t xml:space="preserve">части печени позволяет снизить частоту послеоперационных осложнений и объем кровопотери. Вариантом хирургического лечения при ограниченных резервах печени может быть выполнение операции в 2 этапа. При циррозе печени объем остающейся печени должен быть не менее 40%. В данном случае при ХЭПА эмболизационная смесь вводится селективно или суперселективно.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При отсутствии цирроза печени при I-III стадиях опухоли выполняется операция в объеме анатомической резекции печени (лобэктомии, гемигепатэктомии или расширенной гемигепатэктомии), с лимфодиссекцией печеночно-двенадцатиперстной связки. Предпочтительнее передний доступ при обширных резекциях. Показано проведение интраоперационного УЗИ. Резекцию считают </w:t>
      </w:r>
      <w:r w:rsidRPr="00AC0437">
        <w:rPr>
          <w:color w:val="000000"/>
          <w:lang w:val="en-US"/>
        </w:rPr>
        <w:t>R</w:t>
      </w:r>
      <w:r w:rsidRPr="00AC0437">
        <w:rPr>
          <w:color w:val="000000"/>
        </w:rPr>
        <w:t>0 при краях отсечения печени без опухолевого роста. При небольших единичных поверхностно расположенных опухолях возможно проведение неанатомических резекций печени.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Возможно комбинированное применение: резекция печени + радиочастотная аблация (РЧА) опухоли.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Синдром портальной гипертензии является ограничением для хирургического лечения пациентов ГЦР на фоне цирроза Child-Pugh А.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Диагноз синдрома портальной гипертензии (ПГ) может быть установлен на основании клинических данных о наличии цирроза и проявлений ПГ. Однако у взрослых необходимо проведение дополнительного обследования для подтверждения ПГ.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Градиент давления в печеночных венах (HVPG) является точным методом, позволяющим подтвердить и определить степень ПГ. HVPG – это разница давления в печеночной вене после окклюзии (WHVP) и свободным давлением в печеночной вене (FHVP, 0-1 мм.рт.ст). Классификация ПГ представлена в таблице 13.4. </w:t>
      </w:r>
    </w:p>
    <w:p w:rsidR="007765F3" w:rsidRPr="00AC0437" w:rsidRDefault="007765F3" w:rsidP="007765F3">
      <w:pPr>
        <w:autoSpaceDE w:val="0"/>
        <w:autoSpaceDN w:val="0"/>
        <w:adjustRightInd w:val="0"/>
        <w:jc w:val="right"/>
        <w:rPr>
          <w:color w:val="000000"/>
        </w:rPr>
      </w:pPr>
      <w:r w:rsidRPr="00AC0437">
        <w:rPr>
          <w:color w:val="000000"/>
        </w:rPr>
        <w:t>Таблица 13.5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Классификация ПГ</w:t>
      </w:r>
    </w:p>
    <w:tbl>
      <w:tblPr>
        <w:tblW w:w="9781" w:type="dxa"/>
        <w:tblInd w:w="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20"/>
      </w:tblPr>
      <w:tblGrid>
        <w:gridCol w:w="2694"/>
        <w:gridCol w:w="3685"/>
        <w:gridCol w:w="3402"/>
      </w:tblGrid>
      <w:tr w:rsidR="007765F3" w:rsidRPr="00AC0437" w:rsidTr="0091738A">
        <w:trPr>
          <w:trHeight w:val="367"/>
        </w:trPr>
        <w:tc>
          <w:tcPr>
            <w:tcW w:w="269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  <w:lang w:val="en-US"/>
              </w:rPr>
              <w:t>HVPG</w:t>
            </w:r>
            <w:r w:rsidRPr="00AC0437">
              <w:rPr>
                <w:color w:val="000000"/>
                <w:kern w:val="24"/>
              </w:rPr>
              <w:t>, мм.рт.ст.</w:t>
            </w:r>
          </w:p>
        </w:tc>
        <w:tc>
          <w:tcPr>
            <w:tcW w:w="368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</w:rPr>
              <w:t>Значение</w:t>
            </w:r>
          </w:p>
        </w:tc>
        <w:tc>
          <w:tcPr>
            <w:tcW w:w="340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</w:rPr>
              <w:t>Возможные события</w:t>
            </w:r>
          </w:p>
        </w:tc>
      </w:tr>
      <w:tr w:rsidR="007765F3" w:rsidRPr="00AC0437" w:rsidTr="0091738A">
        <w:trPr>
          <w:trHeight w:val="223"/>
        </w:trPr>
        <w:tc>
          <w:tcPr>
            <w:tcW w:w="269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</w:rPr>
              <w:t>1-5</w:t>
            </w:r>
          </w:p>
        </w:tc>
        <w:tc>
          <w:tcPr>
            <w:tcW w:w="368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</w:rPr>
              <w:t>норма</w:t>
            </w:r>
          </w:p>
        </w:tc>
        <w:tc>
          <w:tcPr>
            <w:tcW w:w="340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</w:rPr>
              <w:t>нет</w:t>
            </w:r>
          </w:p>
        </w:tc>
      </w:tr>
      <w:tr w:rsidR="007765F3" w:rsidRPr="00AC0437" w:rsidTr="0091738A">
        <w:trPr>
          <w:trHeight w:val="339"/>
        </w:trPr>
        <w:tc>
          <w:tcPr>
            <w:tcW w:w="269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</w:rPr>
              <w:t>6-9</w:t>
            </w:r>
          </w:p>
        </w:tc>
        <w:tc>
          <w:tcPr>
            <w:tcW w:w="368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</w:rPr>
              <w:t>Легкая степень</w:t>
            </w:r>
          </w:p>
        </w:tc>
        <w:tc>
          <w:tcPr>
            <w:tcW w:w="340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</w:rPr>
              <w:t>нет</w:t>
            </w:r>
          </w:p>
        </w:tc>
      </w:tr>
      <w:tr w:rsidR="007765F3" w:rsidRPr="00AC0437" w:rsidTr="0091738A">
        <w:trPr>
          <w:trHeight w:val="257"/>
        </w:trPr>
        <w:tc>
          <w:tcPr>
            <w:tcW w:w="2694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</w:rPr>
              <w:lastRenderedPageBreak/>
              <w:t>≥10</w:t>
            </w:r>
          </w:p>
        </w:tc>
        <w:tc>
          <w:tcPr>
            <w:tcW w:w="368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</w:rPr>
              <w:t>Клинически значимая портальная гипертензия</w:t>
            </w:r>
          </w:p>
        </w:tc>
        <w:tc>
          <w:tcPr>
            <w:tcW w:w="3402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765F3" w:rsidRPr="00AC0437" w:rsidRDefault="007765F3" w:rsidP="0091738A">
            <w:pPr>
              <w:jc w:val="center"/>
            </w:pPr>
            <w:r w:rsidRPr="00AC0437">
              <w:rPr>
                <w:color w:val="000000"/>
                <w:kern w:val="24"/>
              </w:rPr>
              <w:t>Декомпенсация компенсированного цирроза после хирургического лечения</w:t>
            </w:r>
          </w:p>
        </w:tc>
      </w:tr>
    </w:tbl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При показателе </w:t>
      </w:r>
      <w:r w:rsidRPr="00AC0437">
        <w:rPr>
          <w:color w:val="000000"/>
          <w:lang w:val="en-US"/>
        </w:rPr>
        <w:t>HVPG</w:t>
      </w:r>
      <w:r w:rsidRPr="00AC0437">
        <w:rPr>
          <w:color w:val="000000"/>
        </w:rPr>
        <w:t xml:space="preserve"> ≥10 мм.рт.ст. возникает высокий риск декомпенсации компенсированного цирроза после хирургического лечения. При резектабельной опухоли на фоне цирроза </w:t>
      </w:r>
      <w:r w:rsidRPr="00AC0437">
        <w:rPr>
          <w:color w:val="000000"/>
          <w:lang w:val="en-US"/>
        </w:rPr>
        <w:t>Child</w:t>
      </w:r>
      <w:r w:rsidRPr="00AC0437">
        <w:rPr>
          <w:color w:val="000000"/>
        </w:rPr>
        <w:t>-</w:t>
      </w:r>
      <w:r w:rsidRPr="00AC0437">
        <w:rPr>
          <w:color w:val="000000"/>
          <w:lang w:val="en-US"/>
        </w:rPr>
        <w:t>PughA</w:t>
      </w:r>
      <w:r w:rsidRPr="00AC0437">
        <w:rPr>
          <w:color w:val="000000"/>
        </w:rPr>
        <w:t xml:space="preserve"> (исключительных случаях при циррозе Child-Pugh В) и подозрении на наличие синдрома портальной гипертензии и технических возможностях показано измерение </w:t>
      </w:r>
      <w:r w:rsidRPr="00AC0437">
        <w:rPr>
          <w:color w:val="000000"/>
          <w:lang w:val="en-US"/>
        </w:rPr>
        <w:t>HVPG</w:t>
      </w:r>
      <w:r w:rsidRPr="00AC0437">
        <w:rPr>
          <w:color w:val="000000"/>
        </w:rPr>
        <w:t xml:space="preserve">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К критериям нерезектабельности относятся наличие цирроза Child-Pugh В-С, уни и/или билобарное поражение с невозможностью сохранить более 40% паренхимы печени. При инвазии сосудов ворот печени и НПВ с или без тромбообразования; наличии региональных и отдаленных метастазов; инвазии соседних структур и/или органов, исключая желчный пузырь, решение вопроса о хирургическом лечении принимается в каждом случае индивидуально.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/>
          <w:bCs/>
          <w:color w:val="000000"/>
        </w:rPr>
      </w:pPr>
      <w:r w:rsidRPr="00AC0437">
        <w:rPr>
          <w:rFonts w:ascii="TimesNewRomanPS-BoldMT" w:hAnsi="TimesNewRomanPS-BoldMT" w:cs="TimesNewRomanPS-BoldMT"/>
          <w:bCs/>
          <w:color w:val="000000"/>
        </w:rPr>
        <w:t>13.7.1.2. ОТП.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</w:pPr>
      <w:r w:rsidRPr="00AC0437">
        <w:t>Показаниями для ОТП у пациентов ГЦР на фоне цирроза являются Миланские критерии (одиночная опухоль ≤5 см, 2 или 3 опухоли ≤3 см, отсутствие сосудистой инвазии). Очередность пациентов на ОТП определяется согласно формуле Model for End-stage Liver Disease (</w:t>
      </w:r>
      <w:r w:rsidRPr="00AC0437">
        <w:rPr>
          <w:lang w:val="en-US"/>
        </w:rPr>
        <w:t>MELD</w:t>
      </w:r>
      <w:r w:rsidRPr="00AC0437">
        <w:t>) с учетом вида цирроза печени.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</w:pPr>
      <w:r w:rsidRPr="00AC0437">
        <w:t xml:space="preserve">MELD =3,8[уровень билирубина крови (мг/дл)] + 11,2[МНО] + 9,6[уровень креатинина крови (мг/дл)] + 6,4[этиология: 0 при холестатическом или алкогольном циррозе, 1 при циррозе другой этиологии]. ОТП проводится пациентам при формуле MELD &lt;20, что обусловлено различиями в прогнозе после ОТП.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Cs/>
          <w:color w:val="000000"/>
        </w:rPr>
      </w:pPr>
      <w:r w:rsidRPr="00AC0437">
        <w:rPr>
          <w:rFonts w:ascii="TimesNewRomanPS-BoldMT" w:hAnsi="TimesNewRomanPS-BoldMT" w:cs="TimesNewRomanPS-BoldMT"/>
          <w:bCs/>
          <w:color w:val="000000"/>
        </w:rPr>
        <w:t>13.7.2. Адъювантная терапия.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>Эффективных схем адъювантной терапии после хирургического лечения нет.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bCs/>
          <w:color w:val="000000"/>
        </w:rPr>
        <w:t xml:space="preserve">13.7.3. </w:t>
      </w:r>
      <w:r w:rsidRPr="00AC0437">
        <w:rPr>
          <w:color w:val="000000"/>
        </w:rPr>
        <w:t>Аблационные методики.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Показаниями для аблации является размер опухолевого узла до </w:t>
      </w:r>
      <w:smartTag w:uri="urn:schemas-microsoft-com:office:smarttags" w:element="metricconverter">
        <w:smartTagPr>
          <w:attr w:name="ProductID" w:val="5 см"/>
        </w:smartTagPr>
        <w:r w:rsidRPr="00AC0437">
          <w:rPr>
            <w:color w:val="000000"/>
          </w:rPr>
          <w:t>5 см</w:t>
        </w:r>
      </w:smartTag>
      <w:r w:rsidRPr="00AC0437">
        <w:rPr>
          <w:color w:val="000000"/>
        </w:rPr>
        <w:t xml:space="preserve"> и количество не более 4. Аблация проводится под ультразвуковым, </w:t>
      </w:r>
      <w:r w:rsidRPr="00AC0437">
        <w:rPr>
          <w:color w:val="000000"/>
        </w:rPr>
        <w:lastRenderedPageBreak/>
        <w:t>компьютерным, лапароскопическим контролем или при лапаротомии. Эффект аблации считают полным при достижении 100% некроза опухоли по данным компьютерной томографии органов брюшной полости с внутривенным болюсным контрастированием или МРТ с контрастированием. Исследования выполняются на первой неделе и через 1 месяц после процедуры, в дальнейшем через 3 месяца, через 6 месяцев, через 1 год и далее ежегодно.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Такие же показания для чрезкожной этаноловой инъекции (ЧЭИ). Вопухолевый узел вводится 10-20 мл 96% этилового спирта. Вместо спирта может применяться 50% уксусная кислота. Как самостоятельный метод паллиативного лечения может применяться криодеструкция.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rFonts w:ascii="TimesNewRomanPS-BoldMT" w:hAnsi="TimesNewRomanPS-BoldMT" w:cs="TimesNewRomanPS-BoldMT"/>
          <w:bCs/>
          <w:color w:val="000000"/>
        </w:rPr>
        <w:t xml:space="preserve">13.7.4. </w:t>
      </w:r>
      <w:r w:rsidRPr="00AC0437">
        <w:rPr>
          <w:color w:val="000000"/>
        </w:rPr>
        <w:t>Лучевая терапия.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t xml:space="preserve">Лучевая терапия </w:t>
      </w:r>
      <w:r w:rsidRPr="00AC0437">
        <w:rPr>
          <w:color w:val="000000"/>
        </w:rPr>
        <w:t>может использоваться с паллиативной целью у пациентов с нерезектабельной опухолью или при наличии противопоказаний к другим методам локального воздействия. Лучевая терапия должна проводиться в условиях 3</w:t>
      </w:r>
      <w:r w:rsidRPr="00AC0437">
        <w:rPr>
          <w:color w:val="000000"/>
          <w:lang w:val="en-US"/>
        </w:rPr>
        <w:t>D</w:t>
      </w:r>
      <w:r w:rsidRPr="00AC0437">
        <w:rPr>
          <w:color w:val="000000"/>
        </w:rPr>
        <w:t xml:space="preserve"> планирования, IMRT или VMAT в режиме классического фракционирования. При этом подведенная СОД зависит от объема облучения печени (таблица 13.5). </w:t>
      </w:r>
    </w:p>
    <w:p w:rsidR="007765F3" w:rsidRPr="00AC0437" w:rsidRDefault="007765F3" w:rsidP="007765F3">
      <w:pPr>
        <w:autoSpaceDE w:val="0"/>
        <w:autoSpaceDN w:val="0"/>
        <w:adjustRightInd w:val="0"/>
        <w:jc w:val="right"/>
        <w:rPr>
          <w:color w:val="000000"/>
        </w:rPr>
      </w:pPr>
      <w:r w:rsidRPr="00AC0437">
        <w:rPr>
          <w:color w:val="000000"/>
        </w:rPr>
        <w:t>Таблица 13.6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rPr>
          <w:color w:val="000000"/>
        </w:rPr>
      </w:pPr>
      <w:r w:rsidRPr="00AC0437">
        <w:rPr>
          <w:color w:val="000000"/>
        </w:rPr>
        <w:t>Зависимость дозы от объема опухоли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6"/>
        <w:gridCol w:w="4795"/>
      </w:tblGrid>
      <w:tr w:rsidR="007765F3" w:rsidRPr="00AC0437" w:rsidTr="0091738A">
        <w:tc>
          <w:tcPr>
            <w:tcW w:w="4927" w:type="dxa"/>
            <w:shd w:val="clear" w:color="auto" w:fill="auto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  <w:r w:rsidRPr="00AC0437">
              <w:rPr>
                <w:color w:val="000000"/>
                <w:sz w:val="30"/>
                <w:szCs w:val="30"/>
              </w:rPr>
              <w:t>Объем печени, %</w:t>
            </w:r>
          </w:p>
        </w:tc>
        <w:tc>
          <w:tcPr>
            <w:tcW w:w="4927" w:type="dxa"/>
            <w:shd w:val="clear" w:color="auto" w:fill="auto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  <w:r w:rsidRPr="00AC0437">
              <w:rPr>
                <w:color w:val="000000"/>
                <w:sz w:val="30"/>
                <w:szCs w:val="30"/>
              </w:rPr>
              <w:t>Доза облучения, Гр</w:t>
            </w:r>
          </w:p>
        </w:tc>
      </w:tr>
      <w:tr w:rsidR="007765F3" w:rsidRPr="00AC0437" w:rsidTr="0091738A">
        <w:tc>
          <w:tcPr>
            <w:tcW w:w="4927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  <w:r w:rsidRPr="00AC0437">
              <w:rPr>
                <w:color w:val="000000"/>
                <w:sz w:val="30"/>
                <w:szCs w:val="30"/>
              </w:rPr>
              <w:t>100</w:t>
            </w:r>
          </w:p>
        </w:tc>
        <w:tc>
          <w:tcPr>
            <w:tcW w:w="4927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  <w:r w:rsidRPr="00AC0437">
              <w:rPr>
                <w:color w:val="000000"/>
                <w:sz w:val="30"/>
                <w:szCs w:val="30"/>
              </w:rPr>
              <w:t>30-33</w:t>
            </w:r>
          </w:p>
        </w:tc>
      </w:tr>
      <w:tr w:rsidR="007765F3" w:rsidRPr="00AC0437" w:rsidTr="0091738A">
        <w:tc>
          <w:tcPr>
            <w:tcW w:w="4927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  <w:r w:rsidRPr="00AC0437">
              <w:rPr>
                <w:color w:val="000000"/>
                <w:sz w:val="30"/>
                <w:szCs w:val="30"/>
              </w:rPr>
              <w:t>70</w:t>
            </w:r>
          </w:p>
        </w:tc>
        <w:tc>
          <w:tcPr>
            <w:tcW w:w="4927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  <w:r w:rsidRPr="00AC0437">
              <w:rPr>
                <w:color w:val="000000"/>
                <w:sz w:val="30"/>
                <w:szCs w:val="30"/>
              </w:rPr>
              <w:t>42</w:t>
            </w:r>
          </w:p>
        </w:tc>
      </w:tr>
      <w:tr w:rsidR="007765F3" w:rsidRPr="00AC0437" w:rsidTr="0091738A">
        <w:tc>
          <w:tcPr>
            <w:tcW w:w="4927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  <w:r w:rsidRPr="00AC0437">
              <w:rPr>
                <w:color w:val="000000"/>
                <w:sz w:val="30"/>
                <w:szCs w:val="30"/>
              </w:rPr>
              <w:t>50</w:t>
            </w:r>
          </w:p>
        </w:tc>
        <w:tc>
          <w:tcPr>
            <w:tcW w:w="4927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  <w:r w:rsidRPr="00AC0437">
              <w:rPr>
                <w:color w:val="000000"/>
                <w:sz w:val="30"/>
                <w:szCs w:val="30"/>
              </w:rPr>
              <w:t>52</w:t>
            </w:r>
          </w:p>
        </w:tc>
      </w:tr>
      <w:tr w:rsidR="007765F3" w:rsidRPr="00AC0437" w:rsidTr="0091738A">
        <w:tc>
          <w:tcPr>
            <w:tcW w:w="4927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  <w:r w:rsidRPr="00AC0437">
              <w:rPr>
                <w:color w:val="000000"/>
                <w:sz w:val="30"/>
                <w:szCs w:val="30"/>
              </w:rPr>
              <w:t>30</w:t>
            </w:r>
          </w:p>
        </w:tc>
        <w:tc>
          <w:tcPr>
            <w:tcW w:w="4927" w:type="dxa"/>
          </w:tcPr>
          <w:p w:rsidR="007765F3" w:rsidRPr="00AC0437" w:rsidRDefault="007765F3" w:rsidP="0091738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0"/>
                <w:szCs w:val="30"/>
              </w:rPr>
            </w:pPr>
            <w:r w:rsidRPr="00AC0437">
              <w:rPr>
                <w:color w:val="000000"/>
                <w:sz w:val="30"/>
                <w:szCs w:val="30"/>
              </w:rPr>
              <w:t>70</w:t>
            </w:r>
          </w:p>
        </w:tc>
      </w:tr>
    </w:tbl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 xml:space="preserve">При размерах опухолевых узлов до </w:t>
      </w:r>
      <w:smartTag w:uri="urn:schemas-microsoft-com:office:smarttags" w:element="metricconverter">
        <w:smartTagPr>
          <w:attr w:name="ProductID" w:val="6 см"/>
        </w:smartTagPr>
        <w:r w:rsidRPr="00AC0437">
          <w:rPr>
            <w:color w:val="000000"/>
          </w:rPr>
          <w:t>6 см</w:t>
        </w:r>
      </w:smartTag>
      <w:r w:rsidRPr="00AC0437">
        <w:rPr>
          <w:color w:val="000000"/>
        </w:rPr>
        <w:t xml:space="preserve"> и их числом не более 3 возможно проведение стереотаксического облучения при наличии необходимого радиологического оборудования.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rFonts w:ascii="TimesNewRomanPS-BoldMT" w:hAnsi="TimesNewRomanPS-BoldMT" w:cs="TimesNewRomanPS-BoldMT"/>
          <w:bCs/>
          <w:color w:val="000000"/>
        </w:rPr>
        <w:t>13.7.5. Системная ц</w:t>
      </w:r>
      <w:r w:rsidRPr="00AC0437">
        <w:rPr>
          <w:color w:val="000000"/>
        </w:rPr>
        <w:t>итостатическая терапия ГЦР.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lastRenderedPageBreak/>
        <w:t xml:space="preserve">При наличии отдаленных нерезектабельных метастазах и/или нерезектабельной опухоли и невозможности использования методов локального воздействия используется системная противоопухолевая терапия.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Сорафениб 400 мг внутрь 2 раза в день. Терапия до прогрессирования или развития осложнений.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Регорафениб 160 мг внутрь 1 раз в день в первые 21 день 28 дневного цикла, интервал 7 дней. Терапия до прогрессирования или развития осложнений.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rFonts w:ascii="TimesNewRomanPS-BoldMT" w:hAnsi="TimesNewRomanPS-BoldMT" w:cs="TimesNewRomanPS-BoldMT"/>
          <w:bCs/>
          <w:color w:val="000000"/>
        </w:rPr>
      </w:pPr>
      <w:r w:rsidRPr="00AC0437">
        <w:rPr>
          <w:rFonts w:ascii="TimesNewRomanPS-BoldMT" w:hAnsi="TimesNewRomanPS-BoldMT" w:cs="TimesNewRomanPS-BoldMT"/>
          <w:bCs/>
          <w:color w:val="000000"/>
        </w:rPr>
        <w:t>13.7.6. Паллиативное лечение.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>ХЭПА применяется как самостоятельный метод паллиативного лечения. Проводится при нерезектабельных опухолях, а также как метод терапии сдерживания при планировании ОТП. В качестве терапии сдерживания возможно сочетание ХЭПА и аблации.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>Ограниченное применение ХЭПА при многоузловом билобарном раке, при экстрапеченочных метастазах.</w:t>
      </w:r>
    </w:p>
    <w:p w:rsidR="007765F3" w:rsidRPr="00AC0437" w:rsidRDefault="007765F3" w:rsidP="007765F3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C0437">
        <w:rPr>
          <w:color w:val="000000"/>
        </w:rPr>
        <w:t xml:space="preserve">При тромбозе воротной вены и при наличии артерио-портального шунта возможно проведение только суперселективной ХЭПА. 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rFonts w:ascii="TimesNewRomanPS-BoldMT" w:hAnsi="TimesNewRomanPS-BoldMT" w:cs="TimesNewRomanPS-BoldMT"/>
          <w:bCs/>
          <w:color w:val="000000"/>
        </w:rPr>
        <w:t xml:space="preserve">13.7.7. </w:t>
      </w:r>
      <w:r w:rsidRPr="00AC0437">
        <w:rPr>
          <w:bCs/>
          <w:color w:val="000000"/>
        </w:rPr>
        <w:t xml:space="preserve">Резюме по лечению 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AC0437">
        <w:rPr>
          <w:bCs/>
          <w:color w:val="000000"/>
        </w:rPr>
        <w:t>Алгоритм лечения пациентов ГЦР представлен на рисунке 13.1.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16"/>
          <w:szCs w:val="16"/>
        </w:rPr>
      </w:pPr>
    </w:p>
    <w:p w:rsidR="007765F3" w:rsidRPr="00AC0437" w:rsidRDefault="007765F3" w:rsidP="007765F3">
      <w:pPr>
        <w:autoSpaceDE w:val="0"/>
        <w:autoSpaceDN w:val="0"/>
        <w:adjustRightInd w:val="0"/>
        <w:jc w:val="both"/>
        <w:rPr>
          <w:rFonts w:ascii="TimesNewRomanPS-BoldMT" w:hAnsi="TimesNewRomanPS-BoldMT" w:cs="TimesNewRomanPS-BoldMT"/>
          <w:bCs/>
          <w:color w:val="000000"/>
          <w:sz w:val="30"/>
          <w:szCs w:val="30"/>
        </w:rPr>
      </w:pPr>
    </w:p>
    <w:p w:rsidR="007765F3" w:rsidRPr="00AC0437" w:rsidRDefault="007765F3" w:rsidP="007765F3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Cs/>
          <w:color w:val="000000"/>
          <w:sz w:val="30"/>
          <w:szCs w:val="30"/>
        </w:rPr>
      </w:pPr>
      <w:r>
        <w:rPr>
          <w:rFonts w:ascii="TimesNewRomanPS-BoldMT" w:hAnsi="TimesNewRomanPS-BoldMT" w:cs="TimesNewRomanPS-BoldMT"/>
          <w:bCs/>
          <w:noProof/>
          <w:color w:val="000000"/>
          <w:sz w:val="30"/>
          <w:szCs w:val="30"/>
        </w:rPr>
      </w:r>
      <w:r>
        <w:rPr>
          <w:rFonts w:ascii="TimesNewRomanPS-BoldMT" w:hAnsi="TimesNewRomanPS-BoldMT" w:cs="TimesNewRomanPS-BoldMT"/>
          <w:bCs/>
          <w:noProof/>
          <w:color w:val="000000"/>
          <w:sz w:val="30"/>
          <w:szCs w:val="30"/>
        </w:rPr>
        <w:pict>
          <v:group id="Полотно 76" o:spid="_x0000_s1026" editas="canvas" style="width:472.2pt;height:491.4pt;mso-position-horizontal-relative:char;mso-position-vertical-relative:line" coordsize="59969,62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9969;height:62407;visibility:visible">
              <v:fill o:detectmouseclick="t"/>
              <v:path o:connecttype="none"/>
            </v:shape>
            <v:rect id="Rectangle 4" o:spid="_x0000_s1028" style="position:absolute;left:23527;top:25658;width:9068;height:60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<v:textbox>
                <w:txbxContent>
                  <w:p w:rsidR="007765F3" w:rsidRDefault="007765F3" w:rsidP="007765F3">
                    <w:pPr>
                      <w:jc w:val="center"/>
                    </w:pPr>
                    <w:r>
                      <w:t>Локальное поражение печени</w:t>
                    </w:r>
                  </w:p>
                </w:txbxContent>
              </v:textbox>
            </v:rect>
            <v:rect id="Rectangle 5" o:spid="_x0000_s1029" style="position:absolute;left:3149;top:19038;width:12970;height:45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<v:textbox>
                <w:txbxContent>
                  <w:p w:rsidR="007765F3" w:rsidRPr="008D426D" w:rsidRDefault="007765F3" w:rsidP="007765F3">
                    <w:pPr>
                      <w:jc w:val="center"/>
                      <w:rPr>
                        <w:lang w:val="en-US"/>
                      </w:rPr>
                    </w:pPr>
                    <w:r>
                      <w:t>Компенсаторная терапия, ЭВВ</w:t>
                    </w:r>
                  </w:p>
                </w:txbxContent>
              </v:textbox>
            </v:rect>
            <v:rect id="Rectangle 6" o:spid="_x0000_s1030" style="position:absolute;left:41145;top:9039;width:14225;height:6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8ENcQA&#10;AADbAAAADwAAAGRycy9kb3ducmV2LnhtbESPQWvDMAyF74P9B6PBLmN12kMpWd1SBoNedljaUnLT&#10;Yi0xjWUTu2n276vDYDeJ9/Tep/V28r0aaUgusIH5rABF3ATruDVwPHy8rkCljGyxD0wGfinBdvP4&#10;sMbShht/0VjlVkkIpxINdDnHUuvUdOQxzUIkFu0nDB6zrEOr7YA3Cfe9XhTFUnt0LA0dRnrvqLlU&#10;V2/g+/wSx9NndWa3qGvcUyxcUxvz/DTt3kBlmvK/+e96bwVf6OUXGUB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fBDXEAAAA2wAAAA8AAAAAAAAAAAAAAAAAmAIAAGRycy9k&#10;b3ducmV2LnhtbFBLBQYAAAAABAAEAPUAAACJAwAAAAA=&#10;">
              <v:textbox inset=".5mm,.3mm,.5mm,.3mm">
                <w:txbxContent>
                  <w:p w:rsidR="007765F3" w:rsidRDefault="007765F3" w:rsidP="007765F3">
                    <w:pPr>
                      <w:jc w:val="center"/>
                    </w:pPr>
                    <w:r w:rsidRPr="003451A5">
                      <w:t>Кандидат для трансплантации печени?</w:t>
                    </w:r>
                  </w:p>
                </w:txbxContent>
              </v:textbox>
            </v:rect>
            <v:line id="Line 7" o:spid="_x0000_s1031" style="position:absolute;flip:x;visibility:visible" from="20240,3330" to="22483,3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<v:stroke endarrow="block"/>
            </v:line>
            <v:line id="Line 8" o:spid="_x0000_s1032" style="position:absolute;visibility:visible" from="37526,3330" to="41874,3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<v:stroke endarrow="block"/>
            </v:line>
            <v:line id="Line 9" o:spid="_x0000_s1033" style="position:absolute;flip:y;visibility:visible" from="4372,32713" to="16111,32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<v:line id="Line 10" o:spid="_x0000_s1034" style="position:absolute;flip:x;visibility:visible" from="7132,30777" to="7149,32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LRs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k1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YS0bGAAAA2wAAAA8AAAAAAAAA&#10;AAAAAAAAoQIAAGRycy9kb3ducmV2LnhtbFBLBQYAAAAABAAEAPkAAACUAwAAAAA=&#10;"/>
            <v:line id="Line 11" o:spid="_x0000_s1035" style="position:absolute;flip:x;visibility:visible" from="7132,23608" to="7140,26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Z/IM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C+hP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1n8gxAAAANsAAAAPAAAAAAAAAAAA&#10;AAAAAKECAABkcnMvZG93bnJldi54bWxQSwUGAAAAAAQABAD5AAAAkgMAAAAA&#10;">
              <v:stroke endarrow="block"/>
            </v:line>
            <v:line id="Line 12" o:spid="_x0000_s1036" style="position:absolute;visibility:visible" from="31041,22033" to="31073,2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<v:stroke endarrow="block"/>
            </v:line>
            <v:line id="Line 13" o:spid="_x0000_s1037" style="position:absolute;visibility:visible" from="47663,5577" to="47671,9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<v:stroke endarrow="block"/>
            </v:line>
            <v:line id="Line 14" o:spid="_x0000_s1038" style="position:absolute;visibility:visible" from="16119,11845" to="41161,11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<v:stroke endarrow="block"/>
            </v:line>
            <v:line id="Line 15" o:spid="_x0000_s1039" style="position:absolute;flip:y;visibility:visible" from="30976,17455" to="57734,17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Z+A8MAAADb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Vqf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2fgPDAAAA2wAAAA8AAAAAAAAAAAAA&#10;AAAAoQIAAGRycy9kb3ducmV2LnhtbFBLBQYAAAAABAAEAPkAAACRAwAAAAA=&#10;"/>
            <v:line id="Line 16" o:spid="_x0000_s1040" style="position:absolute;visibility:visible" from="29260,40104" to="29268,4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<v:stroke endarrow="block"/>
            </v:line>
            <v:rect id="Rectangle 17" o:spid="_x0000_s1041" style="position:absolute;left:4987;top:56649;width:42676;height:57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jucMA&#10;AADbAAAADwAAAGRycy9kb3ducmV2LnhtbESPQWvCQBSE7wX/w/IEL0U3plBKdBURBC8emrZIbs/s&#10;M1nMvl2ya0z/fbdQ6HGYmW+Y9Xa0nRioD8axguUiA0FcO224UfD5cZi/gQgRWWPnmBR8U4DtZvK0&#10;xkK7B7/TUMZGJAiHAhW0MfpCylC3ZDEsnCdO3tX1FmOSfSN1j48Et53Ms+xVWjScFlr0tG+pvpV3&#10;q+ByfvbD16k8s8mrCo/kM1NXSs2m424FItIY/8N/7aNW8JLD75f0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RjucMAAADbAAAADwAAAAAAAAAAAAAAAACYAgAAZHJzL2Rv&#10;d25yZXYueG1sUEsFBgAAAAAEAAQA9QAAAIgDAAAAAA==&#10;">
              <v:textbox inset=".5mm,.3mm,.5mm,.3mm">
                <w:txbxContent>
                  <w:p w:rsidR="007765F3" w:rsidRPr="003824E0" w:rsidRDefault="007765F3" w:rsidP="007765F3">
                    <w:pPr>
                      <w:jc w:val="center"/>
                    </w:pPr>
                    <w:r>
                      <w:t>Аблационные методики, эмболизационные методики, радиоэмболизационные методики, стереотаксическая л</w:t>
                    </w:r>
                    <w:r w:rsidRPr="003824E0">
                      <w:t>учевая терапия</w:t>
                    </w:r>
                    <w:r>
                      <w:t xml:space="preserve"> на основании характеристик опухоли, локализации</w:t>
                    </w:r>
                  </w:p>
                </w:txbxContent>
              </v:textbox>
            </v:rect>
            <v:rect id="Rectangle 18" o:spid="_x0000_s1042" style="position:absolute;left:7691;top:15183;width:13796;height:22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jGIsMA&#10;AADbAAAADwAAAGRycy9kb3ducmV2LnhtbESPQWsCMRSE7wX/Q3iCl6LZKhRZjSJCwUsPbiuyt+fm&#10;uRvcvIRNuq7/3hQKPQ4z8w2z3g62FT11wThW8DbLQBBXThuuFXx/fUyXIEJE1tg6JgUPCrDdjF7W&#10;mGt35yP1RaxFgnDIUUETo8+lDFVDFsPMeeLkXV1nMSbZ1VJ3eE9w28p5lr1Li4bTQoOe9g1Vt+LH&#10;KricX31/+izObOZliQfymalKpSbjYbcCEWmI/+G/9kErWCzg90v6AX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jGIsMAAADbAAAADwAAAAAAAAAAAAAAAACYAgAAZHJzL2Rv&#10;d25yZXYueG1sUEsFBgAAAAAEAAQA9QAAAIgDAAAAAA==&#10;">
              <v:textbox inset=".5mm,.3mm,.5mm,.3mm">
                <w:txbxContent>
                  <w:p w:rsidR="007765F3" w:rsidRPr="003C5516" w:rsidRDefault="007765F3" w:rsidP="007765F3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>Child-Pugh A/B</w:t>
                    </w:r>
                    <w:r>
                      <w:rPr>
                        <w:b/>
                      </w:rPr>
                      <w:t>*</w:t>
                    </w:r>
                  </w:p>
                </w:txbxContent>
              </v:textbox>
            </v:rect>
            <v:rect id="Rectangle 19" o:spid="_x0000_s1043" style="position:absolute;left:1619;top:8006;width:14419;height:60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FeVsQA&#10;AADbAAAADwAAAGRycy9kb3ducmV2LnhtbESPQWsCMRSE74X+h/AKXopmtUVkNYoIgpceulVkb8/N&#10;cze4eQmbuG7/fVMo9DjMzDfMajPYVvTUBeNYwXSSgSCunDZcKzh+7ccLECEia2wdk4JvCrBZPz+t&#10;MNfuwZ/UF7EWCcIhRwVNjD6XMlQNWQwT54mTd3WdxZhkV0vd4SPBbStnWTaXFg2nhQY97RqqbsXd&#10;KricX31/+ijObGZliQfymalKpUYvw3YJItIQ/8N/7YNW8PYOv1/S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RXlbEAAAA2wAAAA8AAAAAAAAAAAAAAAAAmAIAAGRycy9k&#10;b3ducmV2LnhtbFBLBQYAAAAABAAEAPUAAACJAwAAAAA=&#10;">
              <v:textbox inset=".5mm,.3mm,.5mm,.3mm">
                <w:txbxContent>
                  <w:p w:rsidR="007765F3" w:rsidRPr="008D426D" w:rsidRDefault="007765F3" w:rsidP="007765F3">
                    <w:pPr>
                      <w:jc w:val="center"/>
                    </w:pPr>
                    <w:r w:rsidRPr="008D426D">
                      <w:t>Тяжесть фоновых заболеваний печени (цирроз)</w:t>
                    </w:r>
                  </w:p>
                </w:txbxContent>
              </v:textbox>
            </v:rect>
            <v:line id="Line 20" o:spid="_x0000_s1044" style="position:absolute;flip:x;visibility:visible" from="9715,5725" to="9723,8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13is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ayF7hviQD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13isUAAADbAAAADwAAAAAAAAAA&#10;AAAAAAChAgAAZHJzL2Rvd25yZXYueG1sUEsFBgAAAAAEAAQA+QAAAJMDAAAAAA==&#10;">
              <v:stroke endarrow="block"/>
            </v:line>
            <v:line id="Line 21" o:spid="_x0000_s1045" style="position:absolute;visibility:visible" from="53686,29694" to="53694,3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<v:stroke endarrow="block"/>
            </v:line>
            <v:rect id="Rectangle 22" o:spid="_x0000_s1046" style="position:absolute;left:22483;width:15043;height:80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AIcQA&#10;AADbAAAADwAAAGRycy9kb3ducmV2LnhtbESPQWsCMRSE74X+h/AKXopmtVBlNYoIgpceulVkb8/N&#10;cze4eQmbuG7/fVMo9DjMzDfMajPYVvTUBeNYwXSSgSCunDZcKzh+7ccLECEia2wdk4JvCrBZPz+t&#10;MNfuwZ/UF7EWCcIhRwVNjD6XMlQNWQwT54mTd3WdxZhkV0vd4SPBbStnWfYuLRpOCw162jVU3Yq7&#10;VXA5v/r+9FGc2czKEg/kM1OVSo1ehu0SRKQh/of/2get4G0Ov1/S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DwCHEAAAA2wAAAA8AAAAAAAAAAAAAAAAAmAIAAGRycy9k&#10;b3ducmV2LnhtbFBLBQYAAAAABAAEAPUAAACJAwAAAAA=&#10;">
              <v:textbox inset=".5mm,.3mm,.5mm,.3mm">
                <w:txbxContent>
                  <w:p w:rsidR="007765F3" w:rsidRDefault="007765F3" w:rsidP="007765F3">
                    <w:pPr>
                      <w:jc w:val="center"/>
                      <w:rPr>
                        <w:b/>
                      </w:rPr>
                    </w:pPr>
                    <w:r w:rsidRPr="00946D48">
                      <w:rPr>
                        <w:b/>
                      </w:rPr>
                      <w:t>ГЦР</w:t>
                    </w:r>
                  </w:p>
                  <w:p w:rsidR="007765F3" w:rsidRPr="008D426D" w:rsidRDefault="007765F3" w:rsidP="007765F3">
                    <w:pPr>
                      <w:jc w:val="center"/>
                    </w:pPr>
                    <w:r>
                      <w:t xml:space="preserve">Локализация, размер, </w:t>
                    </w:r>
                    <w:r w:rsidRPr="008D426D">
                      <w:t>экстрапеченочные метастазы</w:t>
                    </w:r>
                  </w:p>
                </w:txbxContent>
              </v:textbox>
            </v:rect>
            <v:rect id="Rectangle 23" o:spid="_x0000_s1047" style="position:absolute;left:41874;top:1862;width:18095;height:3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U8EA&#10;AADbAAAADwAAAGRycy9kb3ducmV2LnhtbERPPWvDMBDdA/0P4gpZQiM3gVDcyKYUClky1G0w3q7W&#10;1Ra1TsJSHOffV0Mg4+N978vZDmKiMRjHCp7XGQji1mnDnYLvr4+nFxAhImscHJOCKwUoi4fFHnPt&#10;LvxJUxU7kUI45Kigj9HnUoa2J4th7Txx4n7daDEmOHZSj3hJ4XaQmyzbSYuGU0OPnt57av+qs1Xw&#10;U6/8dDpWNZtN0+CBfGbaRqnl4/z2CiLSHO/im/ugFWzT2PQl/QBZ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cVFPBAAAA2wAAAA8AAAAAAAAAAAAAAAAAmAIAAGRycy9kb3du&#10;cmV2LnhtbFBLBQYAAAAABAAEAPUAAACGAwAAAAA=&#10;">
              <v:textbox inset=".5mm,.3mm,.5mm,.3mm">
                <w:txbxContent>
                  <w:p w:rsidR="007765F3" w:rsidRDefault="007765F3" w:rsidP="007765F3">
                    <w:pPr>
                      <w:jc w:val="center"/>
                    </w:pPr>
                    <w:r>
                      <w:t xml:space="preserve">Нерезектабельная </w:t>
                    </w:r>
                  </w:p>
                  <w:p w:rsidR="007765F3" w:rsidRPr="005E1004" w:rsidRDefault="007765F3" w:rsidP="007765F3">
                    <w:pPr>
                      <w:jc w:val="center"/>
                    </w:pPr>
                    <w:r>
                      <w:t>опухоль</w:t>
                    </w:r>
                  </w:p>
                </w:txbxContent>
              </v:textbox>
            </v:rect>
            <v:line id="Line 24" o:spid="_x0000_s1048" style="position:absolute;flip:x;visibility:visible" from="7140,14051" to="7149,19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B9j8QAAADbAAAADwAAAGRycy9kb3ducmV2LnhtbESPQWvCQBCF70L/wzKFXoJubKDU6Cqt&#10;VhBKD009eByy0yQ0Oxuyo6b/3hUEj48373vzFqvBtepEfWg8G5hOUlDEpbcNVwb2P9vxK6ggyBZb&#10;z2TgnwKslg+jBebWn/mbToVUKkI45GigFulyrUNZk8Mw8R1x9H5971Ci7CttezxHuGv1c5q+aIcN&#10;x4YaO1rXVP4VRxff2H7xJsuSd6eTZEYfB/lMtRjz9Di8zUEJDXI/vqV31kA2g+uWCA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kH2PxAAAANsAAAAPAAAAAAAAAAAA&#10;AAAAAKECAABkcnMvZG93bnJldi54bWxQSwUGAAAAAAQABAD5AAAAkgMAAAAA&#10;">
              <v:stroke endarrow="block"/>
            </v:line>
            <v:rect id="Rectangle 25" o:spid="_x0000_s1049" style="position:absolute;left:28790;top:19752;width:4785;height:22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wrKMEA&#10;AADbAAAADwAAAGRycy9kb3ducmV2LnhtbERPPWvDMBDdA/0P4gpZQiM3hFDcyKYUClky1G0w3q7W&#10;1Ra1TsJSHOffV0Mg4+N978vZDmKiMRjHCp7XGQji1mnDnYLvr4+nFxAhImscHJOCKwUoi4fFHnPt&#10;LvxJUxU7kUI45Kigj9HnUoa2J4th7Txx4n7daDEmOHZSj3hJ4XaQmyzbSYuGU0OPnt57av+qs1Xw&#10;U6/8dDpWNZtN0+CBfGbaRqnl4/z2CiLSHO/im/ugFWzT+vQl/QBZ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sKyjBAAAA2wAAAA8AAAAAAAAAAAAAAAAAmAIAAGRycy9kb3du&#10;cmV2LnhtbFBLBQYAAAAABAAEAPUAAACGAwAAAAA=&#10;">
              <v:textbox inset=".5mm,.3mm,.5mm,.3mm">
                <w:txbxContent>
                  <w:p w:rsidR="007765F3" w:rsidRPr="005E1004" w:rsidRDefault="007765F3" w:rsidP="007765F3">
                    <w:pPr>
                      <w:jc w:val="center"/>
                    </w:pPr>
                    <w:r>
                      <w:t>нет</w:t>
                    </w:r>
                  </w:p>
                </w:txbxContent>
              </v:textbox>
            </v:rect>
            <v:line id="Line 26" o:spid="_x0000_s1050" style="position:absolute;visibility:visible" from="16111,32713" to="16119,35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<v:stroke endarrow="block"/>
            </v:line>
            <v:line id="Line 27" o:spid="_x0000_s1051" style="position:absolute;visibility:visible" from="30976,17472" to="31041,19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Qczc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lBzNxAAAANsAAAAPAAAAAAAAAAAA&#10;AAAAAKECAABkcnMvZG93bnJldi54bWxQSwUGAAAAAAQABAD5AAAAkgMAAAAA&#10;">
              <v:stroke endarrow="block"/>
            </v:line>
            <v:rect id="Rectangle 28" o:spid="_x0000_s1052" style="position:absolute;left:2145;top:1862;width:18095;height:37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1X8QA&#10;AADbAAAADwAAAGRycy9kb3ducmV2LnhtbESPQWsCMRSE74X+h/AKXopmtUVkNYoIgpceulVkb8/N&#10;cze4eQmbuG7/fVMo9DjMzDfMajPYVvTUBeNYwXSSgSCunDZcKzh+7ccLECEia2wdk4JvCrBZPz+t&#10;MNfuwZ/UF7EWCcIhRwVNjD6XMlQNWQwT54mTd3WdxZhkV0vd4SPBbStnWTaXFg2nhQY97RqqbsXd&#10;KricX31/+ijObGZliQfymalKpUYvw3YJItIQ/8N/7YNW8P4Gv1/S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+tV/EAAAA2wAAAA8AAAAAAAAAAAAAAAAAmAIAAGRycy9k&#10;b3ducmV2LnhtbFBLBQYAAAAABAAEAPUAAACJAwAAAAA=&#10;">
              <v:textbox inset=".5mm,.3mm,.5mm,.3mm">
                <w:txbxContent>
                  <w:p w:rsidR="007765F3" w:rsidRDefault="007765F3" w:rsidP="007765F3">
                    <w:pPr>
                      <w:jc w:val="center"/>
                    </w:pPr>
                    <w:r>
                      <w:t xml:space="preserve">Резектабельная </w:t>
                    </w:r>
                  </w:p>
                  <w:p w:rsidR="007765F3" w:rsidRDefault="007765F3" w:rsidP="007765F3">
                    <w:pPr>
                      <w:jc w:val="center"/>
                    </w:pPr>
                    <w:r>
                      <w:t>опухоль</w:t>
                    </w:r>
                  </w:p>
                  <w:p w:rsidR="007765F3" w:rsidRPr="008D426D" w:rsidRDefault="007765F3" w:rsidP="007765F3">
                    <w:pPr>
                      <w:jc w:val="center"/>
                    </w:pPr>
                    <w:r>
                      <w:t>опухоль</w:t>
                    </w:r>
                  </w:p>
                </w:txbxContent>
              </v:textbox>
            </v:rect>
            <v:rect id="Rectangle 29" o:spid="_x0000_s1053" style="position:absolute;left:24046;top:9039;width:11513;height:22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ctK8MA&#10;AADbAAAADwAAAGRycy9kb3ducmV2LnhtbESPQWsCMRSE7wX/Q3iCl6LZihRZjSJCwUsPbiuyt+fm&#10;uRvcvIRNuq7/3hQKPQ4z8w2z3g62FT11wThW8DbLQBBXThuuFXx/fUyXIEJE1tg6JgUPCrDdjF7W&#10;mGt35yP1RaxFgnDIUUETo8+lDFVDFsPMeeLkXV1nMSbZ1VJ3eE9w28p5lr1Li4bTQoOe9g1Vt+LH&#10;KricX31/+izObOZliQfymalKpSbjYbcCEWmI/+G/9kErWCzg90v6AX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ctK8MAAADbAAAADwAAAAAAAAAAAAAAAACYAgAAZHJzL2Rv&#10;d25yZXYueG1sUEsFBgAAAAAEAAQA9QAAAIgDAAAAAA==&#10;">
              <v:textbox inset=".5mm,.3mm,.5mm,.3mm">
                <w:txbxContent>
                  <w:p w:rsidR="007765F3" w:rsidRPr="000D690D" w:rsidRDefault="007765F3" w:rsidP="007765F3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lang w:val="en-US"/>
                      </w:rPr>
                      <w:t xml:space="preserve">Child-Pugh </w:t>
                    </w:r>
                    <w:r>
                      <w:rPr>
                        <w:b/>
                      </w:rPr>
                      <w:t>С</w:t>
                    </w:r>
                  </w:p>
                </w:txbxContent>
              </v:textbox>
            </v:rect>
            <v:rect id="Rectangle 30" o:spid="_x0000_s1054" style="position:absolute;left:1692;top:26200;width:15180;height:4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>
              <v:textbox>
                <w:txbxContent>
                  <w:p w:rsidR="007765F3" w:rsidRPr="008D426D" w:rsidRDefault="007765F3" w:rsidP="007765F3">
                    <w:pPr>
                      <w:jc w:val="center"/>
                      <w:rPr>
                        <w:lang w:val="en-US"/>
                      </w:rPr>
                    </w:pPr>
                    <w:r>
                      <w:t>Интраоперационная ревизия, ИОУЗИ</w:t>
                    </w:r>
                  </w:p>
                </w:txbxContent>
              </v:textbox>
            </v:rect>
            <v:line id="Line 31" o:spid="_x0000_s1055" style="position:absolute;visibility:visible" from="4363,32746" to="4372,39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8az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8azsUAAADbAAAADwAAAAAAAAAA&#10;AAAAAAChAgAAZHJzL2Rvd25yZXYueG1sUEsFBgAAAAAEAAQA+QAAAJMDAAAAAA==&#10;">
              <v:stroke endarrow="block"/>
            </v:line>
            <v:rect id="Rectangle 32" o:spid="_x0000_s1056" style="position:absolute;left:607;top:39521;width:13885;height:43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WzXMQA&#10;AADbAAAADwAAAGRycy9kb3ducmV2LnhtbESPQWsCMRSE74X+h/AKXopmlVJlNYoIgpceulVkb8/N&#10;cze4eQmbuG7/fVMo9DjMzDfMajPYVvTUBeNYwXSSgSCunDZcKzh+7ccLECEia2wdk4JvCrBZPz+t&#10;MNfuwZ/UF7EWCcIhRwVNjD6XMlQNWQwT54mTd3WdxZhkV0vd4SPBbStnWfYuLRpOCw162jVU3Yq7&#10;VXA5v/r+9FGc2czKEg/kM1OVSo1ehu0SRKQh/of/2get4G0Ov1/S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Fs1zEAAAA2wAAAA8AAAAAAAAAAAAAAAAAmAIAAGRycy9k&#10;b3ducmV2LnhtbFBLBQYAAAAABAAEAPUAAACJAwAAAAA=&#10;">
              <v:textbox inset=".5mm,.3mm,.5mm,.3mm">
                <w:txbxContent>
                  <w:p w:rsidR="007765F3" w:rsidRDefault="007765F3" w:rsidP="007765F3">
                    <w:pPr>
                      <w:jc w:val="center"/>
                    </w:pPr>
                    <w:r>
                      <w:t xml:space="preserve">Резектабельная </w:t>
                    </w:r>
                  </w:p>
                  <w:p w:rsidR="007765F3" w:rsidRPr="008D426D" w:rsidRDefault="007765F3" w:rsidP="007765F3">
                    <w:pPr>
                      <w:jc w:val="center"/>
                    </w:pPr>
                    <w:r>
                      <w:t>опухоль</w:t>
                    </w:r>
                  </w:p>
                </w:txbxContent>
              </v:textbox>
            </v:rect>
            <v:rect id="Rectangle 33" o:spid="_x0000_s1057" style="position:absolute;left:9416;top:35001;width:13067;height:3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onLsEA&#10;AADbAAAADwAAAGRycy9kb3ducmV2LnhtbERPPWvDMBDdA/0P4gpZQiM3hFDcyKYUClky1G0w3q7W&#10;1Ra1TsJSHOffV0Mg4+N978vZDmKiMRjHCp7XGQji1mnDnYLvr4+nFxAhImscHJOCKwUoi4fFHnPt&#10;LvxJUxU7kUI45Kigj9HnUoa2J4th7Txx4n7daDEmOHZSj3hJ4XaQmyzbSYuGU0OPnt57av+qs1Xw&#10;U6/8dDpWNZtN0+CBfGbaRqnl4/z2CiLSHO/im/ugFWzT2PQl/QBZ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aJy7BAAAA2wAAAA8AAAAAAAAAAAAAAAAAmAIAAGRycy9kb3du&#10;cmV2LnhtbFBLBQYAAAAABAAEAPUAAACGAwAAAAA=&#10;">
              <v:textbox inset=".5mm,.3mm,.5mm,.3mm">
                <w:txbxContent>
                  <w:p w:rsidR="007765F3" w:rsidRDefault="007765F3" w:rsidP="007765F3">
                    <w:pPr>
                      <w:jc w:val="center"/>
                    </w:pPr>
                    <w:r>
                      <w:t xml:space="preserve">Нерезектабельная </w:t>
                    </w:r>
                  </w:p>
                  <w:p w:rsidR="007765F3" w:rsidRPr="005E1004" w:rsidRDefault="007765F3" w:rsidP="007765F3">
                    <w:pPr>
                      <w:jc w:val="center"/>
                    </w:pPr>
                    <w:r>
                      <w:t>опухоль</w:t>
                    </w:r>
                  </w:p>
                </w:txbxContent>
              </v:textbox>
            </v:rect>
            <v:rect id="Rectangle 34" o:spid="_x0000_s1058" style="position:absolute;left:5691;top:44845;width:19197;height:41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CtcQA&#10;AADbAAAADwAAAGRycy9kb3ducmV2LnhtbESPQWsCMRSE74X+h/AKXopmlVJ0NYoIgpceulVkb8/N&#10;cze4eQmbuG7/fVMo9DjMzDfMajPYVvTUBeNYwXSSgSCunDZcKzh+7cdzECEia2wdk4JvCrBZPz+t&#10;MNfuwZ/UF7EWCcIhRwVNjD6XMlQNWQwT54mTd3WdxZhkV0vd4SPBbStnWfYuLRpOCw162jVU3Yq7&#10;VXA5v/r+9FGc2czKEg/kM1OVSo1ehu0SRKQh/of/2get4G0Bv1/S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WgrXEAAAA2wAAAA8AAAAAAAAAAAAAAAAAmAIAAGRycy9k&#10;b3ducmV2LnhtbFBLBQYAAAAABAAEAPUAAACJAwAAAAA=&#10;">
              <v:textbox inset=".5mm,.3mm,.5mm,.3mm">
                <w:txbxContent>
                  <w:p w:rsidR="007765F3" w:rsidRPr="00073348" w:rsidRDefault="007765F3" w:rsidP="007765F3">
                    <w:pPr>
                      <w:jc w:val="center"/>
                    </w:pPr>
                    <w:r>
                      <w:t>Возможность а</w:t>
                    </w:r>
                    <w:r w:rsidRPr="00073348">
                      <w:t>блационны</w:t>
                    </w:r>
                    <w:r>
                      <w:t>х</w:t>
                    </w:r>
                    <w:r w:rsidRPr="00073348">
                      <w:t xml:space="preserve"> методик</w:t>
                    </w:r>
                  </w:p>
                </w:txbxContent>
              </v:textbox>
            </v:rect>
            <v:line id="Line 35" o:spid="_x0000_s1059" style="position:absolute;flip:x;visibility:visible" from="16046,38955" to="16054,44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UxssQAAADbAAAADwAAAGRycy9kb3ducmV2LnhtbESPwUrDQBCG74LvsIzgJbQbLYr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dTGyxAAAANsAAAAPAAAAAAAAAAAA&#10;AAAAAKECAABkcnMvZG93bnJldi54bWxQSwUGAAAAAAQABAD5AAAAkgMAAAAA&#10;">
              <v:stroke endarrow="block"/>
            </v:line>
            <v:line id="Line 36" o:spid="_x0000_s1060" style="position:absolute;flip:y;visibility:visible" from="23098,13567" to="23106,44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mUKcQAAADbAAAADwAAAGRycy9kb3ducmV2LnhtbESPQWvCQBCF70L/wzIFL0E3Viw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OZQpxAAAANsAAAAPAAAAAAAAAAAA&#10;AAAAAKECAABkcnMvZG93bnJldi54bWxQSwUGAAAAAAQABAD5AAAAkgMAAAAA&#10;">
              <v:stroke endarrow="block"/>
            </v:line>
            <v:line id="Line 37" o:spid="_x0000_s1061" style="position:absolute;visibility:visible" from="23106,13567" to="41145,13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2KEM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YoQxAAAANsAAAAPAAAAAAAAAAAA&#10;AAAAAKECAABkcnMvZG93bnJldi54bWxQSwUGAAAAAAQABAD5AAAAkgMAAAAA&#10;">
              <v:stroke endarrow="block"/>
            </v:line>
            <v:line id="Line 38" o:spid="_x0000_s1062" style="position:absolute;visibility:visible" from="48019,15191" to="48100,17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Evi8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AS+LxAAAANsAAAAPAAAAAAAAAAAA&#10;AAAAAKECAABkcnMvZG93bnJldi54bWxQSwUGAAAAAAQABAD5AAAAkgMAAAAA&#10;">
              <v:stroke endarrow="block"/>
            </v:line>
            <v:line id="Line 39" o:spid="_x0000_s1063" style="position:absolute;flip:x;visibility:visible" from="57734,17455" to="57742,21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43sc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NPU7huiQDQy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43scUAAADbAAAADwAAAAAAAAAA&#10;AAAAAAChAgAAZHJzL2Rvd25yZXYueG1sUEsFBgAAAAAEAAQA+QAAAJMDAAAAAA==&#10;">
              <v:stroke endarrow="block"/>
            </v:line>
            <v:rect id="Rectangle 40" o:spid="_x0000_s1064" style="position:absolute;left:55370;top:21278;width:3741;height:21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IebcMA&#10;AADbAAAADwAAAGRycy9kb3ducmV2LnhtbESPQWsCMRSE7wX/Q3iCl6LZChZZjSJCwUsPbiuyt+fm&#10;uRvcvIRNuq7/3hQKPQ4z8w2z3g62FT11wThW8DbLQBBXThuuFXx/fUyXIEJE1tg6JgUPCrDdjF7W&#10;mGt35yP1RaxFgnDIUUETo8+lDFVDFsPMeeLkXV1nMSbZ1VJ3eE9w28p5lr1Li4bTQoOe9g1Vt+LH&#10;KricX31/+izObOZliQfymalKpSbjYbcCEWmI/+G/9kErWCzg90v6AX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IebcMAAADbAAAADwAAAAAAAAAAAAAAAACYAgAAZHJzL2Rv&#10;d25yZXYueG1sUEsFBgAAAAAEAAQA9QAAAIgDAAAAAA==&#10;">
              <v:textbox inset=".5mm,.3mm,.5mm,.3mm">
                <w:txbxContent>
                  <w:p w:rsidR="007765F3" w:rsidRPr="005E1004" w:rsidRDefault="007765F3" w:rsidP="007765F3">
                    <w:pPr>
                      <w:jc w:val="center"/>
                    </w:pPr>
                    <w:r>
                      <w:t>Да</w:t>
                    </w:r>
                  </w:p>
                </w:txbxContent>
              </v:textbox>
            </v:rect>
            <v:line id="Line 41" o:spid="_x0000_s1065" style="position:absolute;visibility:visible" from="41113,23476" to="41129,2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<v:stroke endarrow="block"/>
            </v:line>
            <v:line id="Line 42" o:spid="_x0000_s1066" style="position:absolute;visibility:visible" from="57305,23608" to="57313,25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<v:stroke endarrow="block"/>
            </v:line>
            <v:rect id="Rectangle 43" o:spid="_x0000_s1067" style="position:absolute;left:48683;top:25125;width:11286;height:45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Ox88EA&#10;AADbAAAADwAAAGRycy9kb3ducmV2LnhtbERPPWvDMBDdA/0P4gpZQiM3kFDcyKYUClky1G0w3q7W&#10;1Ra1TsJSHOffV0Mg4+N978vZDmKiMRjHCp7XGQji1mnDnYLvr4+nFxAhImscHJOCKwUoi4fFHnPt&#10;LvxJUxU7kUI45Kigj9HnUoa2J4th7Txx4n7daDEmOHZSj3hJ4XaQmyzbSYuGU0OPnt57av+qs1Xw&#10;U6/8dDpWNZtN0+CBfGbaRqnl4/z2CiLSHO/im/ugFWzT2PQl/QBZ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DsfPBAAAA2wAAAA8AAAAAAAAAAAAAAAAAmAIAAGRycy9kb3du&#10;cmV2LnhtbFBLBQYAAAAABAAEAPUAAACGAwAAAAA=&#10;">
              <v:textbox inset=".5mm,.3mm,.5mm,.3mm">
                <w:txbxContent>
                  <w:p w:rsidR="007765F3" w:rsidRPr="003E3F43" w:rsidRDefault="007765F3" w:rsidP="007765F3">
                    <w:pPr>
                      <w:jc w:val="center"/>
                    </w:pPr>
                    <w:r>
                      <w:t>Возможность трансплантации</w:t>
                    </w:r>
                  </w:p>
                </w:txbxContent>
              </v:textbox>
            </v:rect>
            <v:line id="Line 44" o:spid="_x0000_s1068" style="position:absolute;flip:y;visibility:visible" from="27179,23435" to="41129,23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MyPsYAAADbAAAADwAAAGRycy9kb3ducmV2LnhtbESPT2sCMRTE74LfITzBS6nZSlt0axQR&#10;hB68+IeV3l43r5tlNy/bJNXttzeFgsdhZn7DLFa9bcWFfKgdK3iaZCCIS6drrhScjtvHGYgQkTW2&#10;jknBLwVYLYeDBebaXXlPl0OsRIJwyFGBibHLpQylIYth4jri5H05bzEm6SupPV4T3LZymmWv0mLN&#10;acFgRxtDZXP4sQrkbPfw7defz03RnM9zU5RF97FTajzq128gIvXxHv5vv2sFL3P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TMj7GAAAA2wAAAA8AAAAAAAAA&#10;AAAAAAAAoQIAAGRycy9kb3ducmV2LnhtbFBLBQYAAAAABAAEAPkAAACUAwAAAAA=&#10;"/>
            <v:line id="Line 45" o:spid="_x0000_s1069" style="position:absolute;visibility:visible" from="27179,23435" to="27187,25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97Qc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vr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q/e0HAAAAA2wAAAA8AAAAAAAAAAAAAAAAA&#10;oQIAAGRycy9kb3ducmV2LnhtbFBLBQYAAAAABAAEAPkAAACOAwAAAAA=&#10;">
              <v:stroke endarrow="block"/>
            </v:line>
            <v:rect id="Rectangle 46" o:spid="_x0000_s1070" style="position:absolute;left:33575;top:25650;width:14525;height:45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>
              <v:textbox>
                <w:txbxContent>
                  <w:p w:rsidR="007765F3" w:rsidRDefault="007765F3" w:rsidP="007765F3">
                    <w:pPr>
                      <w:jc w:val="center"/>
                    </w:pPr>
                    <w:r>
                      <w:t>Экстрапеченочные метастазы</w:t>
                    </w:r>
                  </w:p>
                </w:txbxContent>
              </v:textbox>
            </v:rect>
            <v:line id="Line 47" o:spid="_x0000_s1071" style="position:absolute;flip:x;visibility:visible" from="36401,40104" to="36409,51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fA48QAAADbAAAADwAAAGRycy9kb3ducmV2LnhtbESPQWvCQBCF70L/wzIFL0E3Kkgb3YTW&#10;KhTEQ60Hj0N2moRmZ0N2qum/7xYEj48373vz1sXgWnWhPjSeDcymKSji0tuGKwOnz93kCVQQZIut&#10;ZzLwSwGK/GG0xsz6K3/Q5SiVihAOGRqoRbpM61DW5DBMfUccvS/fO5Qo+0rbHq8R7lo9T9Oldthw&#10;bKixo01N5ffxx8U3dgd+WyySV6eT5Jm2Z9mnWowZPw4vK1BCg9yPb+l3a2A5h/8tEQA6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h8DjxAAAANsAAAAPAAAAAAAAAAAA&#10;AAAAAKECAABkcnMvZG93bnJldi54bWxQSwUGAAAAAAQABAD5AAAAkgMAAAAA&#10;">
              <v:stroke endarrow="block"/>
            </v:line>
            <v:line id="Line 48" o:spid="_x0000_s1072" style="position:absolute;flip:x;visibility:visible" from="44262,38447" to="44270,43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tleMQAAADbAAAADwAAAGRycy9kb3ducmV2LnhtbESPT2vCQBDF74V+h2UKXkLdaEDa1FXq&#10;PyiIB9Meehyy0yQ0Oxuyo8Zv7xaEHh9v3u/Nmy8H16oz9aHxbGAyTkERl942XBn4+tw9v4AKgmyx&#10;9UwGrhRguXh8mGNu/YWPdC6kUhHCIUcDtUiXax3KmhyGse+Io/fje4cSZV9p2+Mlwl2rp2k60w4b&#10;jg01drSuqfwtTi6+sTvwJsuSldNJ8krbb9mnWowZPQ3vb6CEBvk/vqc/rIFZ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y2V4xAAAANsAAAAPAAAAAAAAAAAA&#10;AAAAAKECAABkcnMvZG93bnJldi54bWxQSwUGAAAAAAQABAD5AAAAkgMAAAAA&#10;">
              <v:stroke endarrow="block"/>
            </v:line>
            <v:rect id="Rectangle 49" o:spid="_x0000_s1073" style="position:absolute;left:23527;top:33672;width:13999;height:6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<v:textbox>
                <w:txbxContent>
                  <w:p w:rsidR="007765F3" w:rsidRDefault="007765F3" w:rsidP="007765F3">
                    <w:pPr>
                      <w:jc w:val="center"/>
                    </w:pPr>
                    <w:r>
                      <w:t>Количество и размер опухолевых узлов</w:t>
                    </w:r>
                  </w:p>
                </w:txbxContent>
              </v:textbox>
            </v:rect>
            <v:line id="Line 50" o:spid="_x0000_s1074" style="position:absolute;visibility:visible" from="37526,38455" to="44262,38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<v:rect id="Rectangle 51" o:spid="_x0000_s1075" style="position:absolute;left:39080;top:35477;width:4453;height:22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xKp8MA&#10;AADbAAAADwAAAGRycy9kb3ducmV2LnhtbESPQWvCQBSE7wX/w/IKvZS6qYdQoqtIQfDiwahIbs/s&#10;a7KYfbtktzH9964g9DjMzDfMYjXaTgzUB+NYwec0A0FcO224UXA8bD6+QISIrLFzTAr+KMBqOXlZ&#10;YKHdjfc0lLERCcKhQAVtjL6QMtQtWQxT54mT9+N6izHJvpG6x1uC207OsiyXFg2nhRY9fbdUX8tf&#10;q+ByfvfDaVee2cyqCrfkM1NXSr29jus5iEhj/A8/21utIM/h8SX9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xKp8MAAADbAAAADwAAAAAAAAAAAAAAAACYAgAAZHJzL2Rv&#10;d25yZXYueG1sUEsFBgAAAAAEAAQA9QAAAIgDAAAAAA==&#10;">
              <v:textbox inset=".5mm,.3mm,.5mm,.3mm">
                <w:txbxContent>
                  <w:p w:rsidR="007765F3" w:rsidRPr="00073348" w:rsidRDefault="007765F3" w:rsidP="007765F3">
                    <w:pPr>
                      <w:jc w:val="center"/>
                    </w:pPr>
                    <w:r>
                      <w:t>&gt; 5см</w:t>
                    </w:r>
                  </w:p>
                </w:txbxContent>
              </v:textbox>
            </v:rect>
            <v:rect id="Rectangle 52" o:spid="_x0000_s1076" style="position:absolute;left:40813;top:43852;width:17763;height:65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Cml8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sYfcP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KaXwgAAANsAAAAPAAAAAAAAAAAAAAAAAJgCAABkcnMvZG93&#10;bnJldi54bWxQSwUGAAAAAAQABAD1AAAAhwMAAAAA&#10;">
              <v:textbox>
                <w:txbxContent>
                  <w:p w:rsidR="007765F3" w:rsidRPr="00ED7FDC" w:rsidRDefault="007765F3" w:rsidP="007765F3">
                    <w:pPr>
                      <w:jc w:val="center"/>
                    </w:pPr>
                    <w:r>
                      <w:t>Системная или с</w:t>
                    </w:r>
                    <w:r w:rsidRPr="00ED7FDC">
                      <w:t>имптоматическая</w:t>
                    </w:r>
                  </w:p>
                  <w:p w:rsidR="007765F3" w:rsidRPr="00ED7FDC" w:rsidRDefault="007765F3" w:rsidP="007765F3">
                    <w:pPr>
                      <w:jc w:val="center"/>
                    </w:pPr>
                    <w:r>
                      <w:t>т</w:t>
                    </w:r>
                    <w:r w:rsidRPr="00ED7FDC">
                      <w:t>ерапия</w:t>
                    </w:r>
                    <w:r>
                      <w:t>**</w:t>
                    </w:r>
                  </w:p>
                </w:txbxContent>
              </v:textbox>
            </v:rect>
            <v:rect id="Rectangle 53" o:spid="_x0000_s1077" style="position:absolute;left:32595;top:51219;width:12129;height:36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7TsEA&#10;AADbAAAADwAAAGRycy9kb3ducmV2LnhtbERPPWvDMBDdA/0P4gpdSiPXQyiulRAChSwd6rQYbxfr&#10;YotYJ2GptvvvqyGQ8fG+y91iBzHRGIxjBa/rDARx67ThTsH36ePlDUSIyBoHx6TgjwLstg+rEgvt&#10;Zv6iqYqdSCEcClTQx+gLKUPbk8Wwdp44cRc3WowJjp3UI84p3A4yz7KNtGg4NfTo6dBTe61+rYJz&#10;/eynn8+qZpM3DR7JZ6ZtlHp6XPbvICIt8S6+uY9awSaNTV/SD5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ve07BAAAA2wAAAA8AAAAAAAAAAAAAAAAAmAIAAGRycy9kb3du&#10;cmV2LnhtbFBLBQYAAAAABAAEAPUAAACGAwAAAAA=&#10;">
              <v:textbox inset=".5mm,.3mm,.5mm,.3mm">
                <w:txbxContent>
                  <w:p w:rsidR="007765F3" w:rsidRDefault="007765F3" w:rsidP="007765F3">
                    <w:pPr>
                      <w:jc w:val="center"/>
                    </w:pPr>
                    <w:r>
                      <w:t>Более одного</w:t>
                    </w:r>
                  </w:p>
                  <w:p w:rsidR="007765F3" w:rsidRPr="00073348" w:rsidRDefault="007765F3" w:rsidP="007765F3">
                    <w:pPr>
                      <w:jc w:val="center"/>
                    </w:pPr>
                    <w:r>
                      <w:t xml:space="preserve"> ≤ 5см</w:t>
                    </w:r>
                  </w:p>
                </w:txbxContent>
              </v:textbox>
            </v:rect>
            <v:line id="Line 54" o:spid="_x0000_s1078" style="position:absolute;visibility:visible" from="44715,53261" to="52447,53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XS3MQAAADbAAAADwAAAGRycy9kb3ducmV2LnhtbESPQWvCQBSE74L/YXlCb7qxBzWpq4ih&#10;0EMrGEvPr9nXbGj2bchu4/bfdwuCx2FmvmG2+2g7MdLgW8cKlosMBHHtdMuNgvfL83wDwgdkjZ1j&#10;UvBLHva76WSLhXZXPtNYhUYkCPsCFZgQ+kJKXxuy6BeuJ07elxsshiSHRuoBrwluO/mYZStpseW0&#10;YLCno6H6u/qxCtamPMu1LF8vp3Jsl3l8ix+fuVIPs3h4AhEohnv41n7RClY5/H9JP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hdLcxAAAANsAAAAPAAAAAAAAAAAA&#10;AAAAAKECAABkcnMvZG93bnJldi54bWxQSwUGAAAAAAQABAD5AAAAkgMAAAAA&#10;">
              <v:stroke endarrow="block"/>
            </v:line>
            <v:line id="Line 55" o:spid="_x0000_s1079" style="position:absolute;flip:y;visibility:visible" from="52447,50382" to="52456,53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Bt0sQAAADbAAAADwAAAGRycy9kb3ducmV2LnhtbESPTUvDQBCG74L/YRnBS2g3WvAjZlNs&#10;a0EoHmw9eByyYxLMzobstI3/3jkIHod33meeKZdT6M2JxtRFdnAzz8EQ19F33Dj4OGxnD2CSIHvs&#10;I5ODH0qwrC4vSix8PPM7nfbSGIVwKtBBKzIU1qa6pYBpHgdizb7iGFB0HBvrRzwrPPT2Ns/vbMCO&#10;9UKLA61bqr/3x6Aa2zfeLBbZKtgse6SXT9nlVpy7vpqen8AITfK//Nd+9Q7u1V5/UQDY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wG3SxAAAANsAAAAPAAAAAAAAAAAA&#10;AAAAAKECAABkcnMvZG93bnJldi54bWxQSwUGAAAAAAQABAD5AAAAkgMAAAAA&#10;">
              <v:stroke endarrow="block"/>
            </v:line>
            <v:rect id="Rectangle 56" o:spid="_x0000_s1080" style="position:absolute;left:25786;top:43147;width:9773;height:45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xEDsMA&#10;AADbAAAADwAAAGRycy9kb3ducmV2LnhtbESPQWsCMRSE7wX/Q3iCl6JZPbSyGkUEwYuHbiuyt+fm&#10;uRvcvIRNXLf/vikUehxm5htmvR1sK3rqgnGsYD7LQBBXThuuFXx9HqZLECEia2wdk4JvCrDdjF7W&#10;mGv35A/qi1iLBOGQo4ImRp9LGaqGLIaZ88TJu7nOYkyyq6Xu8JngtpWLLHuTFg2nhQY97Ruq7sXD&#10;KrheXn1/PhUXNouyxCP5zFSlUpPxsFuBiDTE//Bf+6gVvM/h90v6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xEDsMAAADbAAAADwAAAAAAAAAAAAAAAACYAgAAZHJzL2Rv&#10;d25yZXYueG1sUEsFBgAAAAAEAAQA9QAAAIgDAAAAAA==&#10;">
              <v:textbox inset=".5mm,.3mm,.5mm,.3mm">
                <w:txbxContent>
                  <w:p w:rsidR="007765F3" w:rsidRPr="00B22013" w:rsidRDefault="007765F3" w:rsidP="007765F3">
                    <w:pPr>
                      <w:jc w:val="center"/>
                    </w:pPr>
                    <w:r w:rsidRPr="00B22013">
                      <w:t xml:space="preserve">один </w:t>
                    </w:r>
                  </w:p>
                  <w:p w:rsidR="007765F3" w:rsidRPr="00073348" w:rsidRDefault="007765F3" w:rsidP="007765F3">
                    <w:pPr>
                      <w:jc w:val="center"/>
                    </w:pPr>
                    <w:r>
                      <w:t>≤</w:t>
                    </w:r>
                    <w:r w:rsidRPr="00B22013">
                      <w:t>5см</w:t>
                    </w:r>
                  </w:p>
                </w:txbxContent>
              </v:textbox>
            </v:rect>
            <v:line id="Line 57" o:spid="_x0000_s1081" style="position:absolute;flip:x;visibility:visible" from="29243,47650" to="29251,56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5WPs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6hv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XlY+xAAAANsAAAAPAAAAAAAAAAAA&#10;AAAAAKECAABkcnMvZG93bnJldi54bWxQSwUGAAAAAAQABAD5AAAAkgMAAAAA&#10;">
              <v:stroke endarrow="block"/>
            </v:line>
            <v:line id="Line 58" o:spid="_x0000_s1082" style="position:absolute;visibility:visible" from="2121,43852" to="2145,50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Rz68QAAADbAAAADwAAAGRycy9kb3ducmV2LnhtbESPQWsCMRSE74L/ITyhN83aQtXVKOJS&#10;6KEVXEvPz83rZunmZdmka/rvm4LgcZj5ZpjNLtpWDNT7xrGC+SwDQVw53XCt4OP8Ml2C8AFZY+uY&#10;FPySh912PNpgrt2VTzSUoRaphH2OCkwIXS6lrwxZ9DPXESfvy/UWQ5J9LXWP11RuW/mYZc/SYsNp&#10;wWBHB0PVd/ljFSxMcZILWbydj8XQzFfxPX5eVko9TOJ+DSJQDPfwjX7ViXuC/y/p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tHPrxAAAANsAAAAPAAAAAAAAAAAA&#10;AAAAAKECAABkcnMvZG93bnJldi54bWxQSwUGAAAAAAQABAD5AAAAkgMAAAAA&#10;">
              <v:stroke endarrow="block"/>
            </v:line>
            <v:rect id="Rectangle 59" o:spid="_x0000_s1083" style="position:absolute;top:50562;width:13893;height:26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nlsQA&#10;AADbAAAADwAAAGRycy9kb3ducmV2LnhtbESPQWsCMRSE74X+h/AKXopmlVJlNYoIgpceulVkb8/N&#10;cze4eQmbuG7/fVMo9DjMzDfMajPYVvTUBeNYwXSSgSCunDZcKzh+7ccLECEia2wdk4JvCrBZPz+t&#10;MNfuwZ/UF7EWCcIhRwVNjD6XMlQNWQwT54mTd3WdxZhkV0vd4SPBbStnWfYuLRpOCw162jVU3Yq7&#10;VXA5v/r+9FGc2czKEg/kM1OVSo1ehu0SRKQh/of/2getYP4Gv1/S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755bEAAAA2wAAAA8AAAAAAAAAAAAAAAAAmAIAAGRycy9k&#10;b3ducmV2LnhtbFBLBQYAAAAABAAEAPUAAACJAwAAAAA=&#10;">
              <v:textbox inset=".5mm,.3mm,.5mm,.3mm">
                <w:txbxContent>
                  <w:p w:rsidR="007765F3" w:rsidRPr="008D426D" w:rsidRDefault="007765F3" w:rsidP="007765F3">
                    <w:pPr>
                      <w:jc w:val="center"/>
                    </w:pPr>
                    <w:r>
                      <w:t>Резекция печени</w:t>
                    </w:r>
                  </w:p>
                </w:txbxContent>
              </v:textbox>
            </v:rect>
            <v:rect id="Rectangle 60" o:spid="_x0000_s1084" style="position:absolute;left:46084;top:32713;width:13885;height:101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dCDcQA&#10;AADbAAAADwAAAGRycy9kb3ducmV2LnhtbESPQWsCMRSE74X+h/AKXopmFVplNYoIgpceulVkb8/N&#10;cze4eQmbuG7/fVMo9DjMzDfMajPYVvTUBeNYwXSSgSCunDZcKzh+7ccLECEia2wdk4JvCrBZPz+t&#10;MNfuwZ/UF7EWCcIhRwVNjD6XMlQNWQwT54mTd3WdxZhkV0vd4SPBbStnWfYuLRpOCw162jVU3Yq7&#10;VXA5v/r+9FGc2czKEg/kM1OVSo1ehu0SRKQh/of/2getYP4Gv1/S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3Qg3EAAAA2wAAAA8AAAAAAAAAAAAAAAAAmAIAAGRycy9k&#10;b3ducmV2LnhtbFBLBQYAAAAABAAEAPUAAACJAwAAAAA=&#10;">
              <v:textbox inset=".5mm,.3mm,.5mm,.3mm">
                <w:txbxContent>
                  <w:p w:rsidR="007765F3" w:rsidRPr="003E3F43" w:rsidRDefault="007765F3" w:rsidP="007765F3">
                    <w:pPr>
                      <w:jc w:val="center"/>
                    </w:pPr>
                    <w:r>
                      <w:t>Терапия сдерживания***: аблационные и/или эмболизационные методики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7765F3" w:rsidRDefault="007765F3" w:rsidP="007765F3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color w:val="000000"/>
          <w:szCs w:val="24"/>
        </w:rPr>
      </w:pPr>
    </w:p>
    <w:p w:rsidR="007765F3" w:rsidRPr="00AC0437" w:rsidRDefault="007765F3" w:rsidP="007765F3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color w:val="000000"/>
          <w:szCs w:val="24"/>
        </w:rPr>
      </w:pPr>
      <w:r w:rsidRPr="00AC0437">
        <w:rPr>
          <w:rFonts w:ascii="TimesNewRomanPS-BoldMT" w:hAnsi="TimesNewRomanPS-BoldMT" w:cs="TimesNewRomanPS-BoldMT"/>
          <w:bCs/>
          <w:color w:val="000000"/>
          <w:szCs w:val="24"/>
        </w:rPr>
        <w:t>ЭВВ – эмболизация воротной вены;</w:t>
      </w:r>
    </w:p>
    <w:p w:rsidR="007765F3" w:rsidRPr="00AC0437" w:rsidRDefault="007765F3" w:rsidP="007765F3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color w:val="000000"/>
          <w:szCs w:val="24"/>
        </w:rPr>
      </w:pPr>
      <w:r w:rsidRPr="00AC0437">
        <w:rPr>
          <w:rFonts w:ascii="TimesNewRomanPS-BoldMT" w:hAnsi="TimesNewRomanPS-BoldMT" w:cs="TimesNewRomanPS-BoldMT"/>
          <w:bCs/>
          <w:color w:val="000000"/>
          <w:szCs w:val="24"/>
        </w:rPr>
        <w:t>ИОУЗИ – интраоперационное УЗИ;</w:t>
      </w:r>
    </w:p>
    <w:p w:rsidR="007765F3" w:rsidRPr="00AC0437" w:rsidRDefault="007765F3" w:rsidP="007765F3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color w:val="000000"/>
          <w:szCs w:val="24"/>
        </w:rPr>
      </w:pPr>
      <w:r w:rsidRPr="00AC0437">
        <w:rPr>
          <w:rFonts w:ascii="TimesNewRomanPS-BoldMT" w:hAnsi="TimesNewRomanPS-BoldMT" w:cs="TimesNewRomanPS-BoldMT"/>
          <w:bCs/>
          <w:color w:val="000000"/>
          <w:szCs w:val="24"/>
        </w:rPr>
        <w:t xml:space="preserve">* – Резекции печени при циррозе </w:t>
      </w:r>
      <w:r w:rsidRPr="00AC0437">
        <w:rPr>
          <w:rFonts w:ascii="TimesNewRomanPS-BoldMT" w:hAnsi="TimesNewRomanPS-BoldMT" w:cs="TimesNewRomanPS-BoldMT"/>
          <w:bCs/>
          <w:color w:val="000000"/>
          <w:szCs w:val="24"/>
          <w:lang w:val="en-US"/>
        </w:rPr>
        <w:t>Child</w:t>
      </w:r>
      <w:r w:rsidRPr="00AC0437">
        <w:rPr>
          <w:rFonts w:ascii="TimesNewRomanPS-BoldMT" w:hAnsi="TimesNewRomanPS-BoldMT" w:cs="TimesNewRomanPS-BoldMT"/>
          <w:bCs/>
          <w:color w:val="000000"/>
          <w:szCs w:val="24"/>
        </w:rPr>
        <w:t>-</w:t>
      </w:r>
      <w:r w:rsidRPr="00AC0437">
        <w:rPr>
          <w:rFonts w:ascii="TimesNewRomanPS-BoldMT" w:hAnsi="TimesNewRomanPS-BoldMT" w:cs="TimesNewRomanPS-BoldMT"/>
          <w:bCs/>
          <w:color w:val="000000"/>
          <w:szCs w:val="24"/>
          <w:lang w:val="en-US"/>
        </w:rPr>
        <w:t>PughB</w:t>
      </w:r>
      <w:r w:rsidRPr="00AC0437">
        <w:rPr>
          <w:rFonts w:ascii="TimesNewRomanPS-BoldMT" w:hAnsi="TimesNewRomanPS-BoldMT" w:cs="TimesNewRomanPS-BoldMT"/>
          <w:bCs/>
          <w:color w:val="000000"/>
          <w:szCs w:val="24"/>
        </w:rPr>
        <w:t xml:space="preserve"> выполняются только малого объема (неанатомическая резекция) и очень узкого контингента пациентов;</w:t>
      </w:r>
    </w:p>
    <w:p w:rsidR="007765F3" w:rsidRPr="00AC0437" w:rsidRDefault="007765F3" w:rsidP="007765F3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color w:val="000000"/>
          <w:szCs w:val="24"/>
        </w:rPr>
      </w:pPr>
      <w:r w:rsidRPr="00AC0437">
        <w:rPr>
          <w:rFonts w:ascii="TimesNewRomanPS-BoldMT" w:hAnsi="TimesNewRomanPS-BoldMT" w:cs="TimesNewRomanPS-BoldMT"/>
          <w:bCs/>
          <w:color w:val="000000"/>
          <w:szCs w:val="24"/>
        </w:rPr>
        <w:t>** – системная терапия в рамках клинических испытаний (исследований) или сорафениб;</w:t>
      </w:r>
    </w:p>
    <w:p w:rsidR="007765F3" w:rsidRPr="00AC0437" w:rsidRDefault="007765F3" w:rsidP="007765F3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  <w:color w:val="000000"/>
          <w:szCs w:val="24"/>
        </w:rPr>
      </w:pPr>
      <w:r w:rsidRPr="00AC0437">
        <w:rPr>
          <w:rFonts w:ascii="TimesNewRomanPS-BoldMT" w:hAnsi="TimesNewRomanPS-BoldMT" w:cs="TimesNewRomanPS-BoldMT"/>
          <w:bCs/>
          <w:color w:val="000000"/>
          <w:szCs w:val="24"/>
        </w:rPr>
        <w:t>*** – проводится, если пациент не подходит под Миланские критерии с целью уменьшения размеров опухоли;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center"/>
        <w:rPr>
          <w:bCs/>
          <w:color w:val="000000"/>
        </w:rPr>
      </w:pPr>
      <w:r w:rsidRPr="00AC0437">
        <w:rPr>
          <w:bCs/>
          <w:color w:val="000000"/>
        </w:rPr>
        <w:lastRenderedPageBreak/>
        <w:t>Рисунок 13.1 — Алгоритм лечения пациентов ГЦР</w:t>
      </w:r>
    </w:p>
    <w:p w:rsidR="007765F3" w:rsidRPr="00AC0437" w:rsidRDefault="007765F3" w:rsidP="007765F3">
      <w:pPr>
        <w:ind w:firstLine="709"/>
        <w:jc w:val="both"/>
        <w:rPr>
          <w:b/>
        </w:rPr>
      </w:pPr>
      <w:r w:rsidRPr="00AC0437">
        <w:rPr>
          <w:b/>
        </w:rPr>
        <w:t>13.8. Тактика при прогрессировании.</w:t>
      </w:r>
    </w:p>
    <w:p w:rsidR="007765F3" w:rsidRPr="00AC0437" w:rsidRDefault="007765F3" w:rsidP="007765F3">
      <w:pPr>
        <w:ind w:firstLine="709"/>
        <w:jc w:val="both"/>
      </w:pPr>
      <w:r w:rsidRPr="00AC0437">
        <w:t xml:space="preserve">При возникновении новых очагов ГЦР в печени или внепеченочных метастазах рассматривается возможность хирургического лечения в объеме </w:t>
      </w:r>
      <w:r w:rsidRPr="00AC0437">
        <w:rPr>
          <w:lang w:val="en-US"/>
        </w:rPr>
        <w:t>R</w:t>
      </w:r>
      <w:r w:rsidRPr="00AC0437">
        <w:t>0. Критерии резектабельности и функциональной переносимости те же, что и при первичной опухоли с учетом выполненного ранее хирургического вмешательства. Тактика определяется консилиумом смежных специалистов. При нерезектабельности или функциональной непереносимости рассматривается вопрос о вариантах паллиативного лечения (рентгено-эндоваскулярные вмешательства, аблационные методики, лучевая терапия, системная цитостатическая терапия, симптоматическая терапия).</w:t>
      </w:r>
    </w:p>
    <w:p w:rsidR="007765F3" w:rsidRPr="00AC0437" w:rsidRDefault="007765F3" w:rsidP="007765F3">
      <w:pPr>
        <w:ind w:firstLine="709"/>
        <w:jc w:val="both"/>
        <w:rPr>
          <w:b/>
        </w:rPr>
      </w:pPr>
      <w:r w:rsidRPr="00AC0437">
        <w:rPr>
          <w:b/>
        </w:rPr>
        <w:t>13.9. Наблюдение, сроки и объем обследования.</w:t>
      </w:r>
    </w:p>
    <w:p w:rsidR="007765F3" w:rsidRPr="00AC0437" w:rsidRDefault="007765F3" w:rsidP="007765F3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AC0437">
        <w:t>13.9.1. Режим наблюдения: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первый год – 1 раз в 3 месяца;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второй год – 1раз в 6 месяцев;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в последующем, пожизненно – 1 раз в год.</w:t>
      </w:r>
    </w:p>
    <w:p w:rsidR="007765F3" w:rsidRPr="00AC0437" w:rsidRDefault="007765F3" w:rsidP="007765F3">
      <w:pPr>
        <w:ind w:firstLine="709"/>
        <w:jc w:val="both"/>
      </w:pPr>
      <w:r w:rsidRPr="00AC0437">
        <w:rPr>
          <w:color w:val="000000"/>
        </w:rPr>
        <w:t>после ОТП в течение первых 6-ти месяцев наблюдение ежемесячно с консультацией в центре трансплантации.</w:t>
      </w:r>
    </w:p>
    <w:p w:rsidR="007765F3" w:rsidRPr="00AC0437" w:rsidRDefault="007765F3" w:rsidP="007765F3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AC0437">
        <w:t>13.9.2. Объем обследования: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онкомаркер (АФП);</w:t>
      </w:r>
    </w:p>
    <w:p w:rsidR="007765F3" w:rsidRPr="00AC0437" w:rsidRDefault="007765F3" w:rsidP="007765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0437">
        <w:rPr>
          <w:color w:val="000000"/>
        </w:rPr>
        <w:t>КТ органов брюшной полости с внутривенным болюсным контрастированием;</w:t>
      </w:r>
    </w:p>
    <w:p w:rsidR="007765F3" w:rsidRPr="00AC0437" w:rsidRDefault="007765F3" w:rsidP="007765F3">
      <w:pPr>
        <w:ind w:firstLine="709"/>
        <w:jc w:val="both"/>
        <w:rPr>
          <w:color w:val="000000"/>
        </w:rPr>
      </w:pPr>
      <w:r w:rsidRPr="00AC0437">
        <w:rPr>
          <w:color w:val="000000"/>
        </w:rPr>
        <w:t>По показаниям:</w:t>
      </w:r>
    </w:p>
    <w:p w:rsidR="007765F3" w:rsidRPr="00AC0437" w:rsidRDefault="007765F3" w:rsidP="007765F3">
      <w:pPr>
        <w:ind w:firstLine="709"/>
        <w:jc w:val="both"/>
        <w:rPr>
          <w:color w:val="000000"/>
        </w:rPr>
      </w:pPr>
      <w:r w:rsidRPr="00AC0437">
        <w:rPr>
          <w:color w:val="000000"/>
        </w:rPr>
        <w:t xml:space="preserve">Компьютерная томография органов грудной клетки; </w:t>
      </w:r>
    </w:p>
    <w:p w:rsidR="007765F3" w:rsidRPr="00AC0437" w:rsidRDefault="007765F3" w:rsidP="007765F3">
      <w:pPr>
        <w:ind w:firstLine="709"/>
        <w:jc w:val="both"/>
        <w:rPr>
          <w:color w:val="000000"/>
        </w:rPr>
      </w:pPr>
      <w:r w:rsidRPr="00AC0437">
        <w:rPr>
          <w:color w:val="000000"/>
        </w:rPr>
        <w:t>эзофагогастродуоденоскопия;</w:t>
      </w:r>
    </w:p>
    <w:p w:rsidR="007765F3" w:rsidRPr="00AC0437" w:rsidRDefault="007765F3" w:rsidP="007765F3">
      <w:pPr>
        <w:ind w:firstLine="709"/>
        <w:jc w:val="both"/>
        <w:rPr>
          <w:color w:val="000000"/>
        </w:rPr>
      </w:pPr>
      <w:r w:rsidRPr="00AC0437">
        <w:rPr>
          <w:color w:val="000000"/>
        </w:rPr>
        <w:t>ангиография;</w:t>
      </w:r>
    </w:p>
    <w:p w:rsidR="007765F3" w:rsidRPr="00AC0437" w:rsidRDefault="007765F3" w:rsidP="007765F3">
      <w:pPr>
        <w:ind w:firstLine="709"/>
        <w:jc w:val="both"/>
        <w:rPr>
          <w:color w:val="000000"/>
        </w:rPr>
      </w:pPr>
      <w:r w:rsidRPr="00AC0437">
        <w:rPr>
          <w:color w:val="000000"/>
        </w:rPr>
        <w:t>МРТА органов брюшной полости;</w:t>
      </w:r>
    </w:p>
    <w:p w:rsidR="007765F3" w:rsidRPr="00AC0437" w:rsidRDefault="007765F3" w:rsidP="007765F3">
      <w:pPr>
        <w:ind w:firstLine="709"/>
        <w:jc w:val="both"/>
        <w:rPr>
          <w:color w:val="000000"/>
        </w:rPr>
      </w:pPr>
      <w:r w:rsidRPr="00AC0437">
        <w:rPr>
          <w:color w:val="000000"/>
        </w:rPr>
        <w:t>сцинтиграфия костей скелета;</w:t>
      </w:r>
    </w:p>
    <w:p w:rsidR="007765F3" w:rsidRPr="00AC0437" w:rsidRDefault="007765F3" w:rsidP="007765F3">
      <w:pPr>
        <w:ind w:firstLine="709"/>
        <w:jc w:val="both"/>
        <w:rPr>
          <w:color w:val="000000"/>
        </w:rPr>
      </w:pPr>
      <w:r w:rsidRPr="00AC0437">
        <w:rPr>
          <w:color w:val="000000"/>
        </w:rPr>
        <w:t>ФДГ ПЭТ-КТ.</w:t>
      </w:r>
    </w:p>
    <w:p w:rsidR="007765F3" w:rsidRPr="00AC0437" w:rsidRDefault="007765F3" w:rsidP="007765F3">
      <w:pPr>
        <w:jc w:val="both"/>
        <w:rPr>
          <w:color w:val="000000"/>
        </w:rPr>
      </w:pPr>
    </w:p>
    <w:p w:rsidR="007765F3" w:rsidRPr="00754DEF" w:rsidRDefault="007765F3" w:rsidP="007765F3">
      <w:pPr>
        <w:jc w:val="both"/>
      </w:pPr>
    </w:p>
    <w:p w:rsidR="007765F3" w:rsidRDefault="007765F3" w:rsidP="007765F3"/>
    <w:p w:rsidR="000F34AC" w:rsidRPr="007765F3" w:rsidRDefault="000F34AC"/>
    <w:sectPr w:rsidR="000F34AC" w:rsidRPr="00776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7765F3"/>
    <w:rsid w:val="000F34AC"/>
    <w:rsid w:val="00776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2678</Words>
  <Characters>15265</Characters>
  <Application>Microsoft Office Word</Application>
  <DocSecurity>0</DocSecurity>
  <Lines>127</Lines>
  <Paragraphs>35</Paragraphs>
  <ScaleCrop>false</ScaleCrop>
  <Company>Reanimator Extreme Edition</Company>
  <LinksUpToDate>false</LinksUpToDate>
  <CharactersWithSpaces>17908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2018-09-15T18:20:00Z</dcterms:created>
  <dcterms:modified xsi:type="dcterms:W3CDTF">2018-09-15T18:21:00Z</dcterms:modified>
</cp:coreProperties>
</file>