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E3" w:rsidRPr="002D204D" w:rsidRDefault="006A0CE3" w:rsidP="006A0CE3">
      <w:pPr>
        <w:keepNext/>
        <w:jc w:val="center"/>
        <w:outlineLvl w:val="0"/>
        <w:rPr>
          <w:b/>
          <w:bCs/>
          <w:caps/>
          <w:color w:val="000000"/>
          <w:szCs w:val="24"/>
        </w:rPr>
      </w:pPr>
      <w:bookmarkStart w:id="0" w:name="_Toc153686767"/>
      <w:r w:rsidRPr="002D204D">
        <w:rPr>
          <w:b/>
          <w:bCs/>
          <w:caps/>
          <w:color w:val="000000"/>
          <w:szCs w:val="24"/>
        </w:rPr>
        <w:t>ГЛАВА 23</w:t>
      </w:r>
      <w:r w:rsidRPr="002D204D">
        <w:rPr>
          <w:b/>
          <w:bCs/>
          <w:caps/>
          <w:color w:val="000000"/>
          <w:szCs w:val="24"/>
        </w:rPr>
        <w:br/>
        <w:t>РАК ВУЛЬВЫ (С51)</w:t>
      </w:r>
      <w:bookmarkEnd w:id="0"/>
    </w:p>
    <w:p w:rsidR="006A0CE3" w:rsidRPr="002D204D" w:rsidRDefault="006A0CE3" w:rsidP="006A0CE3">
      <w:pPr>
        <w:ind w:firstLine="720"/>
        <w:jc w:val="both"/>
        <w:rPr>
          <w:szCs w:val="24"/>
        </w:rPr>
      </w:pPr>
      <w:r w:rsidRPr="002D204D">
        <w:rPr>
          <w:szCs w:val="24"/>
        </w:rPr>
        <w:t>Злокачественные новообразования вульвы относятся к редким заболеваниям, составляя 4% от всей онкогинекологической патологии. Наиболее часто встречается рак вульвы. В зависимости от гистологического типа опухоли вульвы делятся на эпителиальные и неэпителиальные, а также метастатические.</w:t>
      </w:r>
    </w:p>
    <w:p w:rsidR="006A0CE3" w:rsidRPr="002D204D" w:rsidRDefault="006A0CE3" w:rsidP="006A0CE3">
      <w:pPr>
        <w:jc w:val="both"/>
        <w:rPr>
          <w:szCs w:val="24"/>
        </w:rPr>
      </w:pPr>
    </w:p>
    <w:p w:rsidR="006A0CE3" w:rsidRPr="002D204D" w:rsidRDefault="006A0CE3" w:rsidP="006A0CE3">
      <w:pPr>
        <w:ind w:firstLine="709"/>
        <w:jc w:val="both"/>
        <w:rPr>
          <w:szCs w:val="24"/>
        </w:rPr>
      </w:pPr>
      <w:r w:rsidRPr="002D204D">
        <w:rPr>
          <w:szCs w:val="24"/>
        </w:rPr>
        <w:t>23.1. Основные статистические показатели С51 в Беларуси (таблица 23.1)</w:t>
      </w:r>
    </w:p>
    <w:p w:rsidR="006A0CE3" w:rsidRPr="002D204D" w:rsidRDefault="006A0CE3" w:rsidP="006A0CE3">
      <w:pPr>
        <w:jc w:val="right"/>
        <w:rPr>
          <w:szCs w:val="24"/>
        </w:rPr>
      </w:pPr>
      <w:r w:rsidRPr="002D204D">
        <w:rPr>
          <w:szCs w:val="24"/>
        </w:rPr>
        <w:t>Таблица 23.1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6A0CE3" w:rsidRPr="002D204D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6A0CE3" w:rsidRPr="002D204D" w:rsidRDefault="006A0CE3" w:rsidP="0091738A">
            <w:pPr>
              <w:contextualSpacing/>
              <w:jc w:val="center"/>
              <w:rPr>
                <w:b/>
                <w:bCs/>
                <w:szCs w:val="24"/>
              </w:rPr>
            </w:pPr>
            <w:r w:rsidRPr="002D204D">
              <w:rPr>
                <w:b/>
                <w:bCs/>
                <w:szCs w:val="24"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6A0CE3" w:rsidRPr="002D204D" w:rsidRDefault="006A0CE3" w:rsidP="0091738A">
            <w:pPr>
              <w:contextualSpacing/>
              <w:jc w:val="center"/>
              <w:rPr>
                <w:b/>
                <w:bCs/>
                <w:szCs w:val="24"/>
              </w:rPr>
            </w:pPr>
            <w:r w:rsidRPr="002D204D">
              <w:rPr>
                <w:b/>
                <w:bCs/>
                <w:szCs w:val="24"/>
              </w:rPr>
              <w:t>Число</w:t>
            </w:r>
          </w:p>
        </w:tc>
      </w:tr>
      <w:tr w:rsidR="006A0CE3" w:rsidRPr="002D204D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6A0CE3" w:rsidRPr="002D204D" w:rsidRDefault="006A0CE3" w:rsidP="0091738A">
            <w:pPr>
              <w:contextualSpacing/>
              <w:jc w:val="center"/>
              <w:rPr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2011</w:t>
            </w:r>
          </w:p>
        </w:tc>
        <w:tc>
          <w:tcPr>
            <w:tcW w:w="1543" w:type="dxa"/>
            <w:shd w:val="clear" w:color="auto" w:fill="auto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2016</w:t>
            </w:r>
          </w:p>
        </w:tc>
      </w:tr>
      <w:tr w:rsidR="006A0CE3" w:rsidRPr="002D204D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2D204D">
              <w:rPr>
                <w:szCs w:val="24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175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163</w:t>
            </w:r>
          </w:p>
        </w:tc>
      </w:tr>
      <w:tr w:rsidR="006A0CE3" w:rsidRPr="002D204D" w:rsidTr="0091738A"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2D204D">
              <w:rPr>
                <w:szCs w:val="24"/>
              </w:rPr>
              <w:t>Заболеваемость на 100000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3,5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3,2</w:t>
            </w:r>
          </w:p>
        </w:tc>
      </w:tr>
      <w:tr w:rsidR="006A0CE3" w:rsidRPr="002D204D" w:rsidTr="0091738A"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szCs w:val="24"/>
              </w:rPr>
            </w:pPr>
            <w:r w:rsidRPr="002D204D">
              <w:rPr>
                <w:szCs w:val="24"/>
              </w:rPr>
              <w:t xml:space="preserve">Диагноз установлен в </w:t>
            </w:r>
            <w:r w:rsidRPr="002D204D">
              <w:rPr>
                <w:szCs w:val="24"/>
                <w:lang w:val="en-US"/>
              </w:rPr>
              <w:t>I</w:t>
            </w:r>
            <w:r w:rsidRPr="002D204D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6A0CE3" w:rsidRPr="002D204D" w:rsidRDefault="006A0CE3" w:rsidP="0091738A">
            <w:pPr>
              <w:jc w:val="center"/>
              <w:rPr>
                <w:szCs w:val="24"/>
                <w:lang w:val="en-US"/>
              </w:rPr>
            </w:pPr>
            <w:r w:rsidRPr="002D204D">
              <w:rPr>
                <w:szCs w:val="24"/>
                <w:lang w:val="en-US"/>
              </w:rPr>
              <w:t>24</w:t>
            </w:r>
            <w:r w:rsidRPr="002D204D">
              <w:rPr>
                <w:szCs w:val="24"/>
              </w:rPr>
              <w:t>,</w:t>
            </w:r>
            <w:r w:rsidRPr="002D204D">
              <w:rPr>
                <w:szCs w:val="24"/>
                <w:lang w:val="en-US"/>
              </w:rPr>
              <w:t>1</w:t>
            </w:r>
          </w:p>
        </w:tc>
        <w:tc>
          <w:tcPr>
            <w:tcW w:w="1543" w:type="dxa"/>
            <w:shd w:val="clear" w:color="auto" w:fill="auto"/>
          </w:tcPr>
          <w:p w:rsidR="006A0CE3" w:rsidRPr="002D204D" w:rsidRDefault="006A0CE3" w:rsidP="0091738A">
            <w:pPr>
              <w:jc w:val="center"/>
              <w:rPr>
                <w:szCs w:val="24"/>
                <w:lang w:val="en-US"/>
              </w:rPr>
            </w:pPr>
            <w:r w:rsidRPr="002D204D">
              <w:rPr>
                <w:szCs w:val="24"/>
                <w:lang w:val="en-US"/>
              </w:rPr>
              <w:t>56,5</w:t>
            </w:r>
          </w:p>
        </w:tc>
      </w:tr>
      <w:tr w:rsidR="006A0CE3" w:rsidRPr="002D204D" w:rsidTr="0091738A"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2D204D">
              <w:rPr>
                <w:szCs w:val="24"/>
              </w:rPr>
              <w:t xml:space="preserve">Диагноз установлен в </w:t>
            </w:r>
            <w:r w:rsidRPr="002D204D">
              <w:rPr>
                <w:szCs w:val="24"/>
                <w:lang w:val="en-US"/>
              </w:rPr>
              <w:t>II</w:t>
            </w:r>
            <w:r w:rsidRPr="002D204D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6A0CE3" w:rsidRPr="002D204D" w:rsidRDefault="006A0CE3" w:rsidP="0091738A">
            <w:pPr>
              <w:jc w:val="center"/>
              <w:rPr>
                <w:szCs w:val="24"/>
                <w:lang w:val="en-US"/>
              </w:rPr>
            </w:pPr>
            <w:r w:rsidRPr="002D204D">
              <w:rPr>
                <w:szCs w:val="24"/>
                <w:lang w:val="en-US"/>
              </w:rPr>
              <w:t>48</w:t>
            </w:r>
            <w:r w:rsidRPr="002D204D">
              <w:rPr>
                <w:szCs w:val="24"/>
              </w:rPr>
              <w:t>,</w:t>
            </w:r>
            <w:r w:rsidRPr="002D204D">
              <w:rPr>
                <w:szCs w:val="24"/>
                <w:lang w:val="en-US"/>
              </w:rPr>
              <w:t>9</w:t>
            </w:r>
          </w:p>
        </w:tc>
        <w:tc>
          <w:tcPr>
            <w:tcW w:w="1543" w:type="dxa"/>
            <w:shd w:val="clear" w:color="auto" w:fill="auto"/>
          </w:tcPr>
          <w:p w:rsidR="006A0CE3" w:rsidRPr="002D204D" w:rsidRDefault="006A0CE3" w:rsidP="0091738A">
            <w:pPr>
              <w:jc w:val="center"/>
              <w:rPr>
                <w:szCs w:val="24"/>
                <w:lang w:val="en-US"/>
              </w:rPr>
            </w:pPr>
            <w:r w:rsidRPr="002D204D">
              <w:rPr>
                <w:szCs w:val="24"/>
                <w:lang w:val="en-US"/>
              </w:rPr>
              <w:t>20,5</w:t>
            </w:r>
          </w:p>
        </w:tc>
      </w:tr>
      <w:tr w:rsidR="006A0CE3" w:rsidRPr="002D204D" w:rsidTr="0091738A"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2D204D">
              <w:rPr>
                <w:szCs w:val="24"/>
              </w:rPr>
              <w:t xml:space="preserve">Диагноз установлен в </w:t>
            </w:r>
            <w:r w:rsidRPr="002D204D">
              <w:rPr>
                <w:szCs w:val="24"/>
                <w:lang w:val="en-US"/>
              </w:rPr>
              <w:t>III</w:t>
            </w:r>
            <w:r w:rsidRPr="002D204D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6A0CE3" w:rsidRPr="002D204D" w:rsidRDefault="006A0CE3" w:rsidP="0091738A">
            <w:pPr>
              <w:jc w:val="center"/>
              <w:rPr>
                <w:szCs w:val="24"/>
                <w:lang w:val="en-US"/>
              </w:rPr>
            </w:pPr>
            <w:r w:rsidRPr="002D204D">
              <w:rPr>
                <w:szCs w:val="24"/>
                <w:lang w:val="en-US"/>
              </w:rPr>
              <w:t>18,4</w:t>
            </w:r>
          </w:p>
        </w:tc>
        <w:tc>
          <w:tcPr>
            <w:tcW w:w="1543" w:type="dxa"/>
            <w:shd w:val="clear" w:color="auto" w:fill="auto"/>
          </w:tcPr>
          <w:p w:rsidR="006A0CE3" w:rsidRPr="002D204D" w:rsidRDefault="006A0CE3" w:rsidP="0091738A">
            <w:pPr>
              <w:jc w:val="center"/>
              <w:rPr>
                <w:szCs w:val="24"/>
                <w:lang w:val="en-US"/>
              </w:rPr>
            </w:pPr>
            <w:r w:rsidRPr="002D204D">
              <w:rPr>
                <w:szCs w:val="24"/>
                <w:lang w:val="en-US"/>
              </w:rPr>
              <w:t>17</w:t>
            </w:r>
            <w:r w:rsidRPr="002D204D">
              <w:rPr>
                <w:szCs w:val="24"/>
              </w:rPr>
              <w:t>,</w:t>
            </w:r>
            <w:r w:rsidRPr="002D204D">
              <w:rPr>
                <w:szCs w:val="24"/>
                <w:lang w:val="en-US"/>
              </w:rPr>
              <w:t>4</w:t>
            </w:r>
          </w:p>
        </w:tc>
      </w:tr>
      <w:tr w:rsidR="006A0CE3" w:rsidRPr="002D204D" w:rsidTr="0091738A"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2D204D">
              <w:rPr>
                <w:szCs w:val="24"/>
              </w:rPr>
              <w:t xml:space="preserve">Диагноз установлен в </w:t>
            </w:r>
            <w:r w:rsidRPr="002D204D">
              <w:rPr>
                <w:szCs w:val="24"/>
                <w:lang w:val="en-US"/>
              </w:rPr>
              <w:t>IV</w:t>
            </w:r>
            <w:r w:rsidRPr="002D204D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6A0CE3" w:rsidRPr="002D204D" w:rsidRDefault="006A0CE3" w:rsidP="0091738A">
            <w:pPr>
              <w:jc w:val="center"/>
              <w:rPr>
                <w:szCs w:val="24"/>
                <w:lang w:val="en-US"/>
              </w:rPr>
            </w:pPr>
            <w:r w:rsidRPr="002D204D">
              <w:rPr>
                <w:szCs w:val="24"/>
                <w:lang w:val="en-US"/>
              </w:rPr>
              <w:t>8,6</w:t>
            </w:r>
          </w:p>
        </w:tc>
        <w:tc>
          <w:tcPr>
            <w:tcW w:w="1543" w:type="dxa"/>
            <w:shd w:val="clear" w:color="auto" w:fill="auto"/>
          </w:tcPr>
          <w:p w:rsidR="006A0CE3" w:rsidRPr="002D204D" w:rsidRDefault="006A0CE3" w:rsidP="0091738A">
            <w:pPr>
              <w:jc w:val="center"/>
              <w:rPr>
                <w:szCs w:val="24"/>
                <w:lang w:val="en-US"/>
              </w:rPr>
            </w:pPr>
            <w:r w:rsidRPr="002D204D">
              <w:rPr>
                <w:szCs w:val="24"/>
                <w:lang w:val="en-US"/>
              </w:rPr>
              <w:t>5</w:t>
            </w:r>
            <w:r w:rsidRPr="002D204D">
              <w:rPr>
                <w:szCs w:val="24"/>
              </w:rPr>
              <w:t>,</w:t>
            </w:r>
            <w:r w:rsidRPr="002D204D">
              <w:rPr>
                <w:szCs w:val="24"/>
                <w:lang w:val="en-US"/>
              </w:rPr>
              <w:t>6</w:t>
            </w:r>
          </w:p>
        </w:tc>
      </w:tr>
      <w:tr w:rsidR="006A0CE3" w:rsidRPr="002D204D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2D204D">
              <w:rPr>
                <w:szCs w:val="24"/>
              </w:rPr>
              <w:t xml:space="preserve">Прожили менее года с момента установления диагноза из числа заболевших в предыдущем году (одногодичная летальность </w:t>
            </w:r>
            <w:r w:rsidRPr="002D204D">
              <w:rPr>
                <w:szCs w:val="24"/>
              </w:rPr>
              <w:br/>
              <w:t>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23,6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17,4</w:t>
            </w:r>
          </w:p>
        </w:tc>
      </w:tr>
      <w:tr w:rsidR="006A0CE3" w:rsidRPr="002D204D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2D204D">
              <w:rPr>
                <w:szCs w:val="24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79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54</w:t>
            </w:r>
          </w:p>
        </w:tc>
      </w:tr>
      <w:tr w:rsidR="006A0CE3" w:rsidRPr="002D204D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2D204D">
              <w:rPr>
                <w:szCs w:val="24"/>
              </w:rPr>
              <w:t>Смертность на 100000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1,6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1,1</w:t>
            </w:r>
          </w:p>
        </w:tc>
      </w:tr>
      <w:tr w:rsidR="006A0CE3" w:rsidRPr="002D204D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2D204D">
              <w:rPr>
                <w:szCs w:val="24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45,7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34,4</w:t>
            </w:r>
          </w:p>
        </w:tc>
      </w:tr>
      <w:tr w:rsidR="006A0CE3" w:rsidRPr="002D204D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2D204D">
              <w:rPr>
                <w:szCs w:val="24"/>
              </w:rPr>
              <w:lastRenderedPageBreak/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821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</w:rPr>
            </w:pPr>
            <w:r w:rsidRPr="002D204D">
              <w:rPr>
                <w:szCs w:val="24"/>
              </w:rPr>
              <w:t>891</w:t>
            </w:r>
          </w:p>
        </w:tc>
      </w:tr>
      <w:tr w:rsidR="006A0CE3" w:rsidRPr="002D204D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6A0CE3" w:rsidRPr="002D204D" w:rsidRDefault="006A0CE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2D204D">
              <w:rPr>
                <w:szCs w:val="24"/>
              </w:rPr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  <w:lang w:val="en-US"/>
              </w:rPr>
            </w:pPr>
            <w:r w:rsidRPr="002D204D">
              <w:rPr>
                <w:szCs w:val="24"/>
                <w:lang w:val="en-US"/>
              </w:rPr>
              <w:t>50,8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6A0CE3" w:rsidRPr="002D204D" w:rsidRDefault="006A0CE3" w:rsidP="0091738A">
            <w:pPr>
              <w:jc w:val="center"/>
              <w:rPr>
                <w:szCs w:val="24"/>
                <w:lang w:val="en-US"/>
              </w:rPr>
            </w:pPr>
            <w:r w:rsidRPr="002D204D">
              <w:rPr>
                <w:szCs w:val="24"/>
                <w:lang w:val="en-US"/>
              </w:rPr>
              <w:t>51,5</w:t>
            </w:r>
          </w:p>
        </w:tc>
      </w:tr>
    </w:tbl>
    <w:p w:rsidR="006A0CE3" w:rsidRPr="002D204D" w:rsidRDefault="006A0CE3" w:rsidP="006A0CE3">
      <w:pPr>
        <w:jc w:val="both"/>
        <w:rPr>
          <w:color w:val="000000"/>
          <w:szCs w:val="24"/>
        </w:rPr>
      </w:pPr>
    </w:p>
    <w:p w:rsidR="006A0CE3" w:rsidRPr="002D204D" w:rsidRDefault="006A0CE3" w:rsidP="006A0CE3">
      <w:pPr>
        <w:rPr>
          <w:rFonts w:eastAsia="Calibri"/>
          <w:b/>
          <w:szCs w:val="24"/>
        </w:rPr>
      </w:pPr>
    </w:p>
    <w:p w:rsidR="006A0CE3" w:rsidRPr="002D204D" w:rsidRDefault="006A0CE3" w:rsidP="006A0CE3">
      <w:pPr>
        <w:rPr>
          <w:rFonts w:eastAsia="Calibri"/>
          <w:b/>
          <w:sz w:val="18"/>
          <w:szCs w:val="18"/>
        </w:rPr>
      </w:pPr>
      <w:r w:rsidRPr="002D204D">
        <w:rPr>
          <w:rFonts w:eastAsia="Calibri"/>
          <w:b/>
          <w:sz w:val="18"/>
          <w:szCs w:val="18"/>
        </w:rPr>
        <w:t>23.2. Классификация ВОЗ опухолей вульвы</w:t>
      </w:r>
      <w:r w:rsidRPr="002D204D">
        <w:rPr>
          <w:rFonts w:eastAsia="Calibri"/>
          <w:b/>
          <w:sz w:val="18"/>
          <w:szCs w:val="18"/>
          <w:vertAlign w:val="superscript"/>
        </w:rPr>
        <w:t>1,2,3</w:t>
      </w:r>
      <w:r w:rsidRPr="002D204D">
        <w:rPr>
          <w:rFonts w:eastAsia="Calibri"/>
          <w:b/>
          <w:sz w:val="18"/>
          <w:szCs w:val="18"/>
        </w:rPr>
        <w:t xml:space="preserve"> (2014)</w:t>
      </w:r>
    </w:p>
    <w:p w:rsidR="006A0CE3" w:rsidRPr="002D204D" w:rsidRDefault="006A0CE3" w:rsidP="006A0CE3">
      <w:pPr>
        <w:rPr>
          <w:rFonts w:eastAsia="Calibri"/>
          <w:sz w:val="18"/>
          <w:szCs w:val="18"/>
        </w:rPr>
      </w:pPr>
    </w:p>
    <w:tbl>
      <w:tblPr>
        <w:tblStyle w:val="15"/>
        <w:tblW w:w="9628" w:type="dxa"/>
        <w:tblLook w:val="04A0"/>
      </w:tblPr>
      <w:tblGrid>
        <w:gridCol w:w="4201"/>
        <w:gridCol w:w="107"/>
        <w:gridCol w:w="740"/>
        <w:gridCol w:w="119"/>
        <w:gridCol w:w="3235"/>
        <w:gridCol w:w="261"/>
        <w:gridCol w:w="682"/>
        <w:gridCol w:w="283"/>
      </w:tblGrid>
      <w:tr w:rsidR="006A0CE3" w:rsidRPr="002D204D" w:rsidTr="0091738A">
        <w:trPr>
          <w:gridAfter w:val="1"/>
          <w:wAfter w:w="283" w:type="dxa"/>
        </w:trPr>
        <w:tc>
          <w:tcPr>
            <w:tcW w:w="42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/>
                <w:sz w:val="18"/>
                <w:szCs w:val="18"/>
              </w:rPr>
            </w:pPr>
            <w:r w:rsidRPr="002D204D">
              <w:rPr>
                <w:b/>
                <w:sz w:val="18"/>
                <w:szCs w:val="18"/>
              </w:rPr>
              <w:t xml:space="preserve">Эпителиальные опухоли </w:t>
            </w:r>
          </w:p>
        </w:tc>
        <w:tc>
          <w:tcPr>
            <w:tcW w:w="84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35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 xml:space="preserve">     Узловая гиперплазия бартолиновых желез</w:t>
            </w:r>
          </w:p>
        </w:tc>
        <w:tc>
          <w:tcPr>
            <w:tcW w:w="9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rPr>
          <w:gridAfter w:val="1"/>
          <w:wAfter w:w="283" w:type="dxa"/>
        </w:trPr>
        <w:tc>
          <w:tcPr>
            <w:tcW w:w="42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/>
                <w:i/>
                <w:sz w:val="18"/>
                <w:szCs w:val="18"/>
              </w:rPr>
            </w:pPr>
            <w:r w:rsidRPr="002D204D">
              <w:rPr>
                <w:b/>
                <w:i/>
                <w:sz w:val="18"/>
                <w:szCs w:val="18"/>
              </w:rPr>
              <w:t>Плоскоклеточные опухоли и предшественники</w:t>
            </w:r>
          </w:p>
        </w:tc>
        <w:tc>
          <w:tcPr>
            <w:tcW w:w="84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35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 xml:space="preserve">     Кисты вестибулярных желез </w:t>
            </w:r>
          </w:p>
        </w:tc>
        <w:tc>
          <w:tcPr>
            <w:tcW w:w="9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rPr>
          <w:gridAfter w:val="1"/>
          <w:wAfter w:w="283" w:type="dxa"/>
        </w:trPr>
        <w:tc>
          <w:tcPr>
            <w:tcW w:w="42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Плоскоклеточныеинтраэпителиальные поражения</w:t>
            </w:r>
          </w:p>
        </w:tc>
        <w:tc>
          <w:tcPr>
            <w:tcW w:w="84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35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 xml:space="preserve">     Другие кисты </w:t>
            </w:r>
          </w:p>
        </w:tc>
        <w:tc>
          <w:tcPr>
            <w:tcW w:w="9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rPr>
          <w:gridAfter w:val="1"/>
          <w:wAfter w:w="283" w:type="dxa"/>
        </w:trPr>
        <w:tc>
          <w:tcPr>
            <w:tcW w:w="42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Плоскоклеточная вульварная интраэпителиальная неоплазия низкой степени (</w:t>
            </w:r>
            <w:r w:rsidRPr="002D204D">
              <w:rPr>
                <w:i/>
                <w:sz w:val="18"/>
                <w:szCs w:val="18"/>
                <w:lang w:val="en-US"/>
              </w:rPr>
              <w:t>low</w:t>
            </w:r>
            <w:r w:rsidRPr="002D204D">
              <w:rPr>
                <w:i/>
                <w:sz w:val="18"/>
                <w:szCs w:val="18"/>
              </w:rPr>
              <w:t>-</w:t>
            </w:r>
            <w:r w:rsidRPr="002D204D">
              <w:rPr>
                <w:i/>
                <w:sz w:val="18"/>
                <w:szCs w:val="18"/>
                <w:lang w:val="en-US"/>
              </w:rPr>
              <w:t>grade</w:t>
            </w:r>
            <w:r w:rsidRPr="002D204D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4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  <w:p w:rsidR="006A0CE3" w:rsidRPr="002D204D" w:rsidRDefault="006A0CE3" w:rsidP="0091738A">
            <w:pPr>
              <w:rPr>
                <w:sz w:val="18"/>
                <w:szCs w:val="18"/>
                <w:lang w:val="en-US"/>
              </w:rPr>
            </w:pPr>
            <w:r w:rsidRPr="002D204D">
              <w:rPr>
                <w:sz w:val="18"/>
                <w:szCs w:val="18"/>
                <w:lang w:val="en-US"/>
              </w:rPr>
              <w:t>8077/0</w:t>
            </w:r>
          </w:p>
        </w:tc>
        <w:tc>
          <w:tcPr>
            <w:tcW w:w="335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Нейроэндокринные опухоли</w:t>
            </w:r>
          </w:p>
        </w:tc>
        <w:tc>
          <w:tcPr>
            <w:tcW w:w="9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rPr>
          <w:gridAfter w:val="1"/>
          <w:wAfter w:w="283" w:type="dxa"/>
        </w:trPr>
        <w:tc>
          <w:tcPr>
            <w:tcW w:w="42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Плоскоклеточная вульварная интраэпителиальная неоплазия высокой степени (</w:t>
            </w:r>
            <w:r w:rsidRPr="002D204D">
              <w:rPr>
                <w:i/>
                <w:sz w:val="18"/>
                <w:szCs w:val="18"/>
                <w:lang w:val="en-US"/>
              </w:rPr>
              <w:t>high</w:t>
            </w:r>
            <w:r w:rsidRPr="002D204D">
              <w:rPr>
                <w:i/>
                <w:sz w:val="18"/>
                <w:szCs w:val="18"/>
              </w:rPr>
              <w:t>-</w:t>
            </w:r>
            <w:r w:rsidRPr="002D204D">
              <w:rPr>
                <w:i/>
                <w:sz w:val="18"/>
                <w:szCs w:val="18"/>
                <w:lang w:val="en-US"/>
              </w:rPr>
              <w:t>grade</w:t>
            </w:r>
            <w:r w:rsidRPr="002D204D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84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8077/2</w:t>
            </w:r>
          </w:p>
        </w:tc>
        <w:tc>
          <w:tcPr>
            <w:tcW w:w="335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Нейроэндокринная карцинома высокой степени злокачественности</w:t>
            </w:r>
          </w:p>
        </w:tc>
        <w:tc>
          <w:tcPr>
            <w:tcW w:w="9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</w:rPr>
            </w:pPr>
          </w:p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rPr>
          <w:gridAfter w:val="1"/>
          <w:wAfter w:w="283" w:type="dxa"/>
        </w:trPr>
        <w:tc>
          <w:tcPr>
            <w:tcW w:w="42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Дифференцированный тип вульварной интраэпителиальной неоплазии</w:t>
            </w:r>
          </w:p>
        </w:tc>
        <w:tc>
          <w:tcPr>
            <w:tcW w:w="84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8071/2</w:t>
            </w:r>
          </w:p>
        </w:tc>
        <w:tc>
          <w:tcPr>
            <w:tcW w:w="335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>Нейроэндокринная карцинома мелкоклеточная</w:t>
            </w:r>
          </w:p>
        </w:tc>
        <w:tc>
          <w:tcPr>
            <w:tcW w:w="9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  <w:lang w:val="en-US"/>
              </w:rPr>
            </w:pPr>
          </w:p>
          <w:p w:rsidR="006A0CE3" w:rsidRPr="002D204D" w:rsidRDefault="006A0CE3" w:rsidP="0091738A">
            <w:pPr>
              <w:rPr>
                <w:bCs/>
                <w:sz w:val="18"/>
                <w:szCs w:val="18"/>
                <w:lang w:val="en-US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8041/3</w:t>
            </w:r>
          </w:p>
        </w:tc>
      </w:tr>
      <w:tr w:rsidR="006A0CE3" w:rsidRPr="002D204D" w:rsidTr="0091738A">
        <w:trPr>
          <w:gridAfter w:val="1"/>
          <w:wAfter w:w="283" w:type="dxa"/>
        </w:trPr>
        <w:tc>
          <w:tcPr>
            <w:tcW w:w="42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Плоскоклеточный</w:t>
            </w:r>
            <w:r w:rsidRPr="002D204D">
              <w:rPr>
                <w:bCs/>
                <w:sz w:val="18"/>
                <w:szCs w:val="18"/>
              </w:rPr>
              <w:t xml:space="preserve">рак </w:t>
            </w:r>
          </w:p>
        </w:tc>
        <w:tc>
          <w:tcPr>
            <w:tcW w:w="84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8070/3</w:t>
            </w:r>
          </w:p>
        </w:tc>
        <w:tc>
          <w:tcPr>
            <w:tcW w:w="335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>Нейроэндокринная карцинома крупноклеточная</w:t>
            </w:r>
          </w:p>
        </w:tc>
        <w:tc>
          <w:tcPr>
            <w:tcW w:w="9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  <w:lang w:val="en-US"/>
              </w:rPr>
            </w:pPr>
          </w:p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8013/3</w:t>
            </w:r>
          </w:p>
        </w:tc>
      </w:tr>
      <w:tr w:rsidR="006A0CE3" w:rsidRPr="002D204D" w:rsidTr="0091738A">
        <w:trPr>
          <w:gridAfter w:val="1"/>
          <w:wAfter w:w="283" w:type="dxa"/>
        </w:trPr>
        <w:tc>
          <w:tcPr>
            <w:tcW w:w="42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ороговевающий плоскоклеточный</w:t>
            </w:r>
            <w:r w:rsidRPr="002D204D">
              <w:rPr>
                <w:bCs/>
                <w:i/>
                <w:sz w:val="18"/>
                <w:szCs w:val="18"/>
              </w:rPr>
              <w:t>рак</w:t>
            </w:r>
          </w:p>
        </w:tc>
        <w:tc>
          <w:tcPr>
            <w:tcW w:w="84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8071/3</w:t>
            </w:r>
          </w:p>
        </w:tc>
        <w:tc>
          <w:tcPr>
            <w:tcW w:w="335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Карцинома из клеток Меркеля</w:t>
            </w:r>
          </w:p>
        </w:tc>
        <w:tc>
          <w:tcPr>
            <w:tcW w:w="9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8247/3</w:t>
            </w:r>
          </w:p>
        </w:tc>
      </w:tr>
      <w:tr w:rsidR="006A0CE3" w:rsidRPr="002D204D" w:rsidTr="0091738A">
        <w:trPr>
          <w:gridAfter w:val="1"/>
          <w:wAfter w:w="283" w:type="dxa"/>
        </w:trPr>
        <w:tc>
          <w:tcPr>
            <w:tcW w:w="42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неороговевающий плоскоклеточный</w:t>
            </w:r>
            <w:r w:rsidRPr="002D204D">
              <w:rPr>
                <w:bCs/>
                <w:i/>
                <w:sz w:val="18"/>
                <w:szCs w:val="18"/>
              </w:rPr>
              <w:t>рак</w:t>
            </w:r>
          </w:p>
        </w:tc>
        <w:tc>
          <w:tcPr>
            <w:tcW w:w="84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8072/3</w:t>
            </w:r>
          </w:p>
        </w:tc>
        <w:tc>
          <w:tcPr>
            <w:tcW w:w="3354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/>
                <w:bCs/>
                <w:sz w:val="18"/>
                <w:szCs w:val="18"/>
              </w:rPr>
            </w:pPr>
            <w:r w:rsidRPr="002D204D">
              <w:rPr>
                <w:b/>
                <w:bCs/>
                <w:sz w:val="18"/>
                <w:szCs w:val="18"/>
              </w:rPr>
              <w:t xml:space="preserve">Нейроэктодермальные опухоли </w:t>
            </w:r>
          </w:p>
        </w:tc>
        <w:tc>
          <w:tcPr>
            <w:tcW w:w="9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 xml:space="preserve">базалоидный </w:t>
            </w:r>
            <w:r w:rsidRPr="002D204D">
              <w:rPr>
                <w:i/>
                <w:sz w:val="18"/>
                <w:szCs w:val="18"/>
              </w:rPr>
              <w:t>плоскоклеточный</w:t>
            </w:r>
            <w:r w:rsidRPr="002D204D">
              <w:rPr>
                <w:bCs/>
                <w:i/>
                <w:sz w:val="18"/>
                <w:szCs w:val="18"/>
              </w:rPr>
              <w:t>рак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8083/3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Саркома Юинга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9364/3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 xml:space="preserve">бородавчатый </w:t>
            </w:r>
            <w:r w:rsidRPr="002D204D">
              <w:rPr>
                <w:i/>
                <w:sz w:val="18"/>
                <w:szCs w:val="18"/>
              </w:rPr>
              <w:t>плоскоклеточный</w:t>
            </w:r>
            <w:r w:rsidRPr="002D204D">
              <w:rPr>
                <w:bCs/>
                <w:i/>
                <w:sz w:val="18"/>
                <w:szCs w:val="18"/>
              </w:rPr>
              <w:t>рак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8051/3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/>
                <w:bCs/>
                <w:sz w:val="18"/>
                <w:szCs w:val="18"/>
              </w:rPr>
              <w:t>Опухоли мягких тканей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 xml:space="preserve">веррукозный </w:t>
            </w:r>
            <w:r w:rsidRPr="002D204D">
              <w:rPr>
                <w:i/>
                <w:sz w:val="18"/>
                <w:szCs w:val="18"/>
              </w:rPr>
              <w:t>плоскоклеточный</w:t>
            </w:r>
            <w:r w:rsidRPr="002D204D">
              <w:rPr>
                <w:bCs/>
                <w:i/>
                <w:sz w:val="18"/>
                <w:szCs w:val="18"/>
              </w:rPr>
              <w:t>рак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8051/3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/>
                <w:i/>
                <w:sz w:val="18"/>
                <w:szCs w:val="18"/>
              </w:rPr>
            </w:pPr>
            <w:r w:rsidRPr="002D204D">
              <w:rPr>
                <w:b/>
                <w:bCs/>
                <w:i/>
                <w:sz w:val="18"/>
                <w:szCs w:val="18"/>
              </w:rPr>
              <w:t>Доброкачественные опухоли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Базальноклеточный рак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8090/3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Липома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8850/0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Доброкачественные</w:t>
            </w:r>
            <w:r w:rsidRPr="002D204D">
              <w:rPr>
                <w:sz w:val="18"/>
                <w:szCs w:val="18"/>
              </w:rPr>
              <w:t xml:space="preserve"> плоскоклеточные поражения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Фиброэпителиальный стромальный полип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Остроконечная кондилома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  <w:lang w:val="en-US"/>
              </w:rPr>
            </w:pPr>
            <w:r w:rsidRPr="002D204D">
              <w:rPr>
                <w:bCs/>
                <w:sz w:val="18"/>
                <w:szCs w:val="18"/>
              </w:rPr>
              <w:t>Поверхностная миофибробластома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8825/0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Вестибулярная папиллома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8052/0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  <w:lang w:val="en-US"/>
              </w:rPr>
            </w:pPr>
            <w:r w:rsidRPr="002D204D">
              <w:rPr>
                <w:bCs/>
                <w:sz w:val="18"/>
                <w:szCs w:val="18"/>
              </w:rPr>
              <w:t>Поверхностная ангиомиксома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8841/0*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 xml:space="preserve">Себорейный кератоз 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Глубокая («агрессивная») ангиомиксома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8841/0*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Кератоакантома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Клеточная ангиофиброма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9160/0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/>
                <w:i/>
                <w:sz w:val="18"/>
                <w:szCs w:val="18"/>
              </w:rPr>
            </w:pPr>
            <w:r w:rsidRPr="002D204D">
              <w:rPr>
                <w:b/>
                <w:i/>
                <w:sz w:val="18"/>
                <w:szCs w:val="18"/>
              </w:rPr>
              <w:t>Опухоли железистого эпителия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Ангиомиофибробластома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8826/0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Болезнь Педжета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8542/3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Лейомиома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8890/0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 xml:space="preserve">Опухоли из бартолиневых желез и других специализированных аногенитальных желез 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Зернисто-клеточная опухоль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9580/0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Карциномы из бартолиневых желез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Другие доброкачественные опухоли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Аденокарцинома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8140/3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/>
                <w:i/>
                <w:sz w:val="18"/>
                <w:szCs w:val="18"/>
              </w:rPr>
            </w:pPr>
            <w:r w:rsidRPr="002D204D">
              <w:rPr>
                <w:b/>
                <w:i/>
                <w:sz w:val="18"/>
                <w:szCs w:val="18"/>
              </w:rPr>
              <w:t xml:space="preserve">Злокачественные опухоли 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Плоскоклеточный</w:t>
            </w:r>
            <w:r w:rsidRPr="002D204D">
              <w:rPr>
                <w:bCs/>
                <w:i/>
                <w:sz w:val="18"/>
                <w:szCs w:val="18"/>
              </w:rPr>
              <w:t>рак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8070/3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Рабдомиосаркома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>Железисто-</w:t>
            </w:r>
            <w:r w:rsidRPr="002D204D">
              <w:rPr>
                <w:i/>
                <w:sz w:val="18"/>
                <w:szCs w:val="18"/>
              </w:rPr>
              <w:t>плоскоклеточный</w:t>
            </w:r>
            <w:r w:rsidRPr="002D204D">
              <w:rPr>
                <w:bCs/>
                <w:i/>
                <w:sz w:val="18"/>
                <w:szCs w:val="18"/>
              </w:rPr>
              <w:t xml:space="preserve"> рак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8560/3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Эмбриональная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8910/3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>Аденокистозный рак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8200/3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i/>
                <w:sz w:val="18"/>
                <w:szCs w:val="18"/>
              </w:rPr>
              <w:t>Альвеолярная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8920/3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>Переходноклеточный рак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8120/3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Лейомиосаркома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8890/3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 xml:space="preserve">Аденокарцинома маммароподобных желез 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8500/3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Эпителиоидная саркома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8804/3</w:t>
            </w:r>
          </w:p>
        </w:tc>
      </w:tr>
      <w:tr w:rsidR="006A0CE3" w:rsidRPr="002D204D" w:rsidTr="0091738A">
        <w:trPr>
          <w:trHeight w:val="270"/>
        </w:trPr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tr2bl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Аденокарцинома из желез Скена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8140/3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Альвеолярная мягкотканая саркома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9581/3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Злокачественная филлоидная опухоль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9020/3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 xml:space="preserve">Другие саркомы 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Аденокарциномы других типов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Липосаркома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8850/3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>Аденокарцинома из потовых желе</w:t>
            </w:r>
            <w:r w:rsidRPr="002D204D">
              <w:rPr>
                <w:bCs/>
                <w:sz w:val="18"/>
                <w:szCs w:val="18"/>
              </w:rPr>
              <w:t>з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8140/3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 xml:space="preserve">Злокачественная опухоль оболочек периферического нервного ствола  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9540/3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>Аденокарцинома кишечного типа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8140/3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Саркома Капоши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9140/3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</w:rPr>
              <w:t>Доброкачественные опухоли и кисты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Фибросаркома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  <w:lang w:val="en-US"/>
              </w:rPr>
            </w:pPr>
            <w:r w:rsidRPr="002D204D">
              <w:rPr>
                <w:sz w:val="18"/>
                <w:szCs w:val="18"/>
                <w:lang w:val="en-US"/>
              </w:rPr>
              <w:t>8810/3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 xml:space="preserve">     Папиллярная гидраденома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8405/0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Выбухающая дерматофибросаркома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8832/1*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 xml:space="preserve">     Смешанная опухоль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8940/0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/>
                <w:sz w:val="18"/>
                <w:szCs w:val="18"/>
              </w:rPr>
            </w:pPr>
            <w:r w:rsidRPr="002D204D">
              <w:rPr>
                <w:b/>
                <w:sz w:val="18"/>
                <w:szCs w:val="18"/>
              </w:rPr>
              <w:t xml:space="preserve">Меланоцитарные опухоли 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 xml:space="preserve">Доброкачественные меланоцитарные опухоли (невусы) 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 xml:space="preserve">     Фиброаденома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9010/0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Врожденные меланоцитарные невусы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8761/0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lastRenderedPageBreak/>
              <w:t xml:space="preserve">     Аденома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8140/0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Приобретенные меланоцитарные невусы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  <w:lang w:val="en-US"/>
              </w:rPr>
            </w:pPr>
          </w:p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8720/0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 xml:space="preserve">     Аденомиома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  <w:lang w:val="en-US"/>
              </w:rPr>
            </w:pPr>
            <w:r w:rsidRPr="002D204D">
              <w:rPr>
                <w:bCs/>
                <w:sz w:val="18"/>
                <w:szCs w:val="18"/>
                <w:lang w:val="en-US"/>
              </w:rPr>
              <w:t>8932/0</w:t>
            </w: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Голубой невус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8780/0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i/>
                <w:sz w:val="18"/>
                <w:szCs w:val="18"/>
              </w:rPr>
            </w:pPr>
            <w:r w:rsidRPr="002D204D">
              <w:rPr>
                <w:bCs/>
                <w:i/>
                <w:sz w:val="18"/>
                <w:szCs w:val="18"/>
              </w:rPr>
              <w:t xml:space="preserve">     Киста бартолиневой железы</w:t>
            </w: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Диспластический меланоцитарный невус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  <w:lang w:val="en-US"/>
              </w:rPr>
            </w:pPr>
          </w:p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8727/0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Атипический меланоцитарный невус генитального типа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8720/0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Меланома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8720/3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/>
                <w:sz w:val="18"/>
                <w:szCs w:val="18"/>
              </w:rPr>
            </w:pPr>
            <w:r w:rsidRPr="002D204D">
              <w:rPr>
                <w:b/>
                <w:sz w:val="18"/>
                <w:szCs w:val="18"/>
              </w:rPr>
              <w:t>Герминоклеточные опухоли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Опухоль желточного мешка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  <w:lang w:val="en-US"/>
              </w:rPr>
              <w:t>9071/3</w:t>
            </w: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/>
                <w:sz w:val="18"/>
                <w:szCs w:val="18"/>
              </w:rPr>
            </w:pPr>
            <w:r w:rsidRPr="002D204D">
              <w:rPr>
                <w:b/>
                <w:sz w:val="18"/>
                <w:szCs w:val="18"/>
              </w:rPr>
              <w:t>Лимфоидные и миелоидные опухоли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  <w:r w:rsidRPr="002D204D">
              <w:rPr>
                <w:sz w:val="18"/>
                <w:szCs w:val="18"/>
              </w:rPr>
              <w:t>Лимфомы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  <w:lang w:val="en-US"/>
              </w:rPr>
            </w:pPr>
            <w:r w:rsidRPr="002D204D">
              <w:rPr>
                <w:sz w:val="18"/>
                <w:szCs w:val="18"/>
                <w:lang w:val="en-US"/>
              </w:rPr>
              <w:t>Миелоидные новообразования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  <w:tr w:rsidR="006A0CE3" w:rsidRPr="002D204D" w:rsidTr="0091738A">
        <w:tc>
          <w:tcPr>
            <w:tcW w:w="430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Cs/>
                <w:sz w:val="18"/>
                <w:szCs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b/>
                <w:sz w:val="18"/>
                <w:szCs w:val="18"/>
                <w:lang w:val="en-US"/>
              </w:rPr>
            </w:pPr>
            <w:r w:rsidRPr="002D204D">
              <w:rPr>
                <w:b/>
                <w:sz w:val="18"/>
                <w:szCs w:val="18"/>
                <w:lang w:val="en-US"/>
              </w:rPr>
              <w:t>Вторичные опухоли</w:t>
            </w:r>
          </w:p>
        </w:tc>
        <w:tc>
          <w:tcPr>
            <w:tcW w:w="9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A0CE3" w:rsidRPr="002D204D" w:rsidRDefault="006A0CE3" w:rsidP="0091738A">
            <w:pPr>
              <w:rPr>
                <w:sz w:val="18"/>
                <w:szCs w:val="18"/>
              </w:rPr>
            </w:pPr>
          </w:p>
        </w:tc>
      </w:tr>
    </w:tbl>
    <w:p w:rsidR="006A0CE3" w:rsidRPr="002D204D" w:rsidRDefault="006A0CE3" w:rsidP="006A0CE3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2D204D">
        <w:rPr>
          <w:rFonts w:eastAsia="Calibri"/>
          <w:sz w:val="18"/>
          <w:szCs w:val="18"/>
          <w:lang w:eastAsia="en-US"/>
        </w:rPr>
        <w:t>Примечания:</w:t>
      </w:r>
    </w:p>
    <w:p w:rsidR="006A0CE3" w:rsidRPr="002D204D" w:rsidRDefault="006A0CE3" w:rsidP="006A0CE3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2D204D">
        <w:rPr>
          <w:rFonts w:eastAsia="Calibri"/>
          <w:sz w:val="18"/>
          <w:szCs w:val="18"/>
          <w:vertAlign w:val="superscript"/>
          <w:lang w:eastAsia="en-US"/>
        </w:rPr>
        <w:t>1</w:t>
      </w:r>
      <w:r w:rsidRPr="002D204D">
        <w:rPr>
          <w:rFonts w:eastAsia="Calibri"/>
          <w:sz w:val="18"/>
          <w:szCs w:val="18"/>
          <w:lang w:eastAsia="en-US"/>
        </w:rPr>
        <w:t xml:space="preserve"> Морфологические коды установлены Международной Классификацией Болезней, рубрика Онкология (</w:t>
      </w:r>
      <w:r w:rsidRPr="002D204D">
        <w:rPr>
          <w:rFonts w:eastAsia="Calibri"/>
          <w:sz w:val="18"/>
          <w:szCs w:val="18"/>
          <w:lang w:val="en-US" w:eastAsia="en-US"/>
        </w:rPr>
        <w:t>ICD</w:t>
      </w:r>
      <w:r w:rsidRPr="002D204D">
        <w:rPr>
          <w:rFonts w:eastAsia="Calibri"/>
          <w:sz w:val="18"/>
          <w:szCs w:val="18"/>
          <w:lang w:eastAsia="en-US"/>
        </w:rPr>
        <w:t>-</w:t>
      </w:r>
      <w:r w:rsidRPr="002D204D">
        <w:rPr>
          <w:rFonts w:eastAsia="Calibri"/>
          <w:sz w:val="18"/>
          <w:szCs w:val="18"/>
          <w:lang w:val="en-US" w:eastAsia="en-US"/>
        </w:rPr>
        <w:t>O</w:t>
      </w:r>
      <w:r w:rsidRPr="002D204D">
        <w:rPr>
          <w:rFonts w:eastAsia="Calibri"/>
          <w:sz w:val="18"/>
          <w:szCs w:val="18"/>
          <w:lang w:eastAsia="en-US"/>
        </w:rPr>
        <w:t xml:space="preserve">) (2000). Потенциал опухоли закодирован как: /0 для доброкачественных опухолей, /1 для опухолей неопределенного, пограничного или неясного потенциала, /2 для рака </w:t>
      </w:r>
      <w:r w:rsidRPr="002D204D">
        <w:rPr>
          <w:rFonts w:eastAsia="Calibri"/>
          <w:sz w:val="18"/>
          <w:szCs w:val="18"/>
          <w:lang w:val="en-US" w:eastAsia="en-US"/>
        </w:rPr>
        <w:t>insitu</w:t>
      </w:r>
      <w:r w:rsidRPr="002D204D">
        <w:rPr>
          <w:rFonts w:eastAsia="Calibri"/>
          <w:sz w:val="18"/>
          <w:szCs w:val="18"/>
          <w:lang w:eastAsia="en-US"/>
        </w:rPr>
        <w:t xml:space="preserve"> и интраэптелиальных неоплазий высокой степени (</w:t>
      </w:r>
      <w:r w:rsidRPr="002D204D">
        <w:rPr>
          <w:rFonts w:eastAsia="Calibri"/>
          <w:sz w:val="18"/>
          <w:szCs w:val="18"/>
          <w:lang w:val="en-US" w:eastAsia="en-US"/>
        </w:rPr>
        <w:t>III</w:t>
      </w:r>
      <w:r w:rsidRPr="002D204D">
        <w:rPr>
          <w:rFonts w:eastAsia="Calibri"/>
          <w:sz w:val="18"/>
          <w:szCs w:val="18"/>
          <w:lang w:eastAsia="en-US"/>
        </w:rPr>
        <w:t xml:space="preserve"> степени) и /3 для злокачественных опухолей. </w:t>
      </w:r>
    </w:p>
    <w:p w:rsidR="006A0CE3" w:rsidRPr="002D204D" w:rsidRDefault="006A0CE3" w:rsidP="006A0CE3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2D204D">
        <w:rPr>
          <w:rFonts w:eastAsia="Calibri"/>
          <w:sz w:val="18"/>
          <w:szCs w:val="18"/>
          <w:vertAlign w:val="superscript"/>
          <w:lang w:eastAsia="en-US"/>
        </w:rPr>
        <w:t>2</w:t>
      </w:r>
      <w:r w:rsidRPr="002D204D">
        <w:rPr>
          <w:rFonts w:eastAsia="Calibri"/>
          <w:sz w:val="18"/>
          <w:szCs w:val="18"/>
          <w:lang w:eastAsia="en-US"/>
        </w:rPr>
        <w:t xml:space="preserve"> Классификация является модификацией предыдущей гистологической классификации опухолей ВОЗ (2002), с учетом современных представлений об опухолях. </w:t>
      </w:r>
    </w:p>
    <w:p w:rsidR="006A0CE3" w:rsidRPr="002D204D" w:rsidRDefault="006A0CE3" w:rsidP="006A0CE3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2D204D">
        <w:rPr>
          <w:rFonts w:eastAsia="Calibri"/>
          <w:sz w:val="18"/>
          <w:szCs w:val="18"/>
          <w:vertAlign w:val="superscript"/>
          <w:lang w:eastAsia="en-US"/>
        </w:rPr>
        <w:t>3</w:t>
      </w:r>
      <w:r w:rsidRPr="002D204D">
        <w:rPr>
          <w:rFonts w:eastAsia="Calibri"/>
          <w:sz w:val="18"/>
          <w:szCs w:val="18"/>
          <w:lang w:eastAsia="en-US"/>
        </w:rPr>
        <w:t xml:space="preserve"> Проставление морфологического кода врачом-патологом в гистологическом ответе обязательно.</w:t>
      </w:r>
    </w:p>
    <w:p w:rsidR="006A0CE3" w:rsidRPr="002D204D" w:rsidRDefault="006A0CE3" w:rsidP="006A0CE3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2D204D">
        <w:rPr>
          <w:rFonts w:eastAsia="Calibri"/>
          <w:sz w:val="18"/>
          <w:szCs w:val="18"/>
          <w:lang w:eastAsia="en-US"/>
        </w:rPr>
        <w:t xml:space="preserve">* Новые коды одобрены Комитетом МАИР/ВОЗ для </w:t>
      </w:r>
      <w:r w:rsidRPr="002D204D">
        <w:rPr>
          <w:rFonts w:eastAsia="Calibri"/>
          <w:sz w:val="18"/>
          <w:szCs w:val="18"/>
          <w:lang w:val="en-US" w:eastAsia="en-US"/>
        </w:rPr>
        <w:t>ICD</w:t>
      </w:r>
      <w:r w:rsidRPr="002D204D">
        <w:rPr>
          <w:rFonts w:eastAsia="Calibri"/>
          <w:sz w:val="18"/>
          <w:szCs w:val="18"/>
          <w:lang w:eastAsia="en-US"/>
        </w:rPr>
        <w:t>-</w:t>
      </w:r>
      <w:r w:rsidRPr="002D204D">
        <w:rPr>
          <w:rFonts w:eastAsia="Calibri"/>
          <w:sz w:val="18"/>
          <w:szCs w:val="18"/>
          <w:lang w:val="en-US" w:eastAsia="en-US"/>
        </w:rPr>
        <w:t>O</w:t>
      </w:r>
      <w:r w:rsidRPr="002D204D">
        <w:rPr>
          <w:rFonts w:eastAsia="Calibri"/>
          <w:sz w:val="18"/>
          <w:szCs w:val="18"/>
          <w:lang w:eastAsia="en-US"/>
        </w:rPr>
        <w:t xml:space="preserve"> в 2012 г.</w:t>
      </w:r>
    </w:p>
    <w:p w:rsidR="006A0CE3" w:rsidRPr="002D204D" w:rsidRDefault="006A0CE3" w:rsidP="006A0CE3">
      <w:pPr>
        <w:ind w:firstLine="720"/>
        <w:jc w:val="both"/>
        <w:rPr>
          <w:color w:val="000000"/>
          <w:sz w:val="18"/>
          <w:szCs w:val="18"/>
        </w:rPr>
      </w:pP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Плоскоклеточная вульварная интраэпителиальная неоплазия низкой степени (low-grade) является интраэпителиальным поражением плоского эпителия, которое представляет собой клиническую и морфологическую манифестацию ВПЧ-инфекции, ассоциирована с низким риском развития рака. </w:t>
      </w:r>
    </w:p>
    <w:p w:rsidR="006A0CE3" w:rsidRDefault="006A0CE3" w:rsidP="006A0CE3"/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Плоскоклеточная вульварная интраэпителиальная неоплазия высокой степени (high-grade) является интраэпителиальным поражением плоского эпителия, несущим значительный риск развития рака при отсутствии лечения.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Дифференцированный тип вульварной интраэпителиальной неоплазии это ВПЧ-негативная внутриэпетилиальная пролиферация с аномальной дифференциацией кератиноцитов и базальноклеточной атипией.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Плоскоклеточный рак – инвазивные эпителиальные опухоли вульвы, состоящие из плоских клеток различной степени дифференцировки. Могут быть связаны или нет с ВПЧ-инфекцией. Самая частая злокачественная опухоль вульвы.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Базальноклеточный рак – инфильтративные опухоли, состоящие преимущественно из клеток базального слоя эпидермиса.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lastRenderedPageBreak/>
        <w:t>Остроконечная кондилома – доброкачественное бородавчатое папиллярное поражение, ассоциированное в ВПЧ-инфекцией.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Вестибулярная папиллома – доброкачественное разрастание плоского эпителия на поверхности слизистой, внутри разрастания имеется тонкий фиброваскулярный стебелек.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Себорейный кератоз – доброкачественная опухоль, характеризующаяся пролиферацией парабазальных клеток плоского эпителия.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Кератоакантома – новообразование из фолликулярных клеток эпителия.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Болезнь Педжета это внутриэпителиальное новообразование эпителиального происхождения, характеризующееся апокринными или эккринными железисто-подобными функциями крупных клеток с выраженной цитоплазмой, называемыми клетками Педжета.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Карцинома из бартолиновых желез – инвазивные эпителиальные опухоли, возникающие из клеток бартолиновых желез, встречаются редко.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Аденогенные гистологические типы карцином, а также неэпителиальные опухоли вульвы встречаются крайне редко.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Вульва является самым распространенным местом локализации меланом женских половых путей, составляя 3% от всех меланом, встречающихся у женщин, и второй по частоте злокачественной опухолью наружных половых органов, составляя 5-10% от неоплазий вульвы.  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Рак вульвы составляет 2-5% злокачественных опухолей женских половых органов.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В 50% случаев рак вульвы возникает в возрасте 60-80 лет, хотя в последние годы отмечается рост заболеваемости среди молодых женщин. Этот факт связывают с ростом частоты инфицированности женщин вирусом папилломы человека (ВПЧ).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Основываясь на эпидемиологических, гистопатологических и вирусологических данных установлено, что пациенток с плоскоклеточным раком вульвы можно разделить на две группы, в которых опухоли имеют различную этиологию: одна из них связана с ВПЧ-инфекцией, другая – нет. ВПЧ-положительные опухоли, как правило, базалоидные или бородавчатые карциномы, содержащие небольшое количество кератина, связаны с вульварной интраэпителиальной неоплазией (</w:t>
      </w:r>
      <w:r w:rsidRPr="002D204D">
        <w:rPr>
          <w:color w:val="000000"/>
          <w:szCs w:val="24"/>
          <w:lang w:val="en-US"/>
        </w:rPr>
        <w:t>VIN</w:t>
      </w:r>
      <w:r w:rsidRPr="002D204D">
        <w:rPr>
          <w:color w:val="000000"/>
          <w:szCs w:val="24"/>
        </w:rPr>
        <w:t xml:space="preserve">), часто мультифокальные, </w:t>
      </w:r>
      <w:r w:rsidRPr="002D204D">
        <w:rPr>
          <w:color w:val="000000"/>
          <w:szCs w:val="24"/>
        </w:rPr>
        <w:lastRenderedPageBreak/>
        <w:t>и обнаруживаются у женщин молодого возраста от 35 до 55 лет. У пациенток с ВПЧ-позитивными опухолями часто обнаруживают цервикальную интраэпителиальную неоплазию (</w:t>
      </w:r>
      <w:r w:rsidRPr="002D204D">
        <w:rPr>
          <w:color w:val="000000"/>
          <w:szCs w:val="24"/>
          <w:lang w:val="en-US"/>
        </w:rPr>
        <w:t>CIN</w:t>
      </w:r>
      <w:r w:rsidRPr="002D204D">
        <w:rPr>
          <w:color w:val="000000"/>
          <w:szCs w:val="24"/>
        </w:rPr>
        <w:t xml:space="preserve">) и факторы риска, приводящие к раку шейки матки.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ВПЧ-негативные опухоли характерны для женщин старшего возраста от 55 до 85 лет. В этой группе опухоли ассоциированы с воспалительными изменениями и склерозирующим лишаем вульвы. Для них характерно монофокальное поражение, опухоли имеют много кератина. Как правило, при этом типе </w:t>
      </w:r>
      <w:r w:rsidRPr="002D204D">
        <w:rPr>
          <w:color w:val="000000"/>
          <w:szCs w:val="24"/>
          <w:lang w:val="en-US"/>
        </w:rPr>
        <w:t>VIN</w:t>
      </w:r>
      <w:r w:rsidRPr="002D204D">
        <w:rPr>
          <w:color w:val="000000"/>
          <w:szCs w:val="24"/>
        </w:rPr>
        <w:t xml:space="preserve"> не встречается. Ряд исследователей заявили о мутации р53 в ВПЧ-отрицательных опухолях.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Большинство карцином вульвы поражают большие половые губы (52%). Вторая по частоте локализация рака наружных половых органов – клитор (12-20%). Патологический процесс в малых половых губах обнаруживается у 7,1% пациенток, в задней спайке – у 6,4%, периуретральной зоне – у 1,7%, бартолиновой железе – у 0,2%. Опухоль может быть в виде бугристого разрастания, плоской язвы с валикообразными краями или узла в толще тканей вульвы.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Опухоль распространяется по протяжению и путем метастазирования в регионарные лимфоузлы (паховые, бедренные), а затем в тазовые лимфоузлы. Изолированные метастазы в тазовых лимфоузлах бывают редко. Они возможны при локализации опухоли в области клитора. При размерах опухоли в пределах Т1 частота обнаружения регионарных лимфоузлов составляет 8,9%, Т2 – 25,3-35%, Т3 – 31,1-55%. Гематогенная диссеминация рака вульвы – большая редкость, наиболее часто выявляют метастазы в легких. </w:t>
      </w:r>
    </w:p>
    <w:p w:rsidR="006A0CE3" w:rsidRPr="002D204D" w:rsidRDefault="006A0CE3" w:rsidP="006A0CE3">
      <w:pPr>
        <w:ind w:firstLine="720"/>
        <w:jc w:val="both"/>
        <w:outlineLvl w:val="4"/>
        <w:rPr>
          <w:b/>
          <w:bCs/>
          <w:iCs/>
          <w:color w:val="000000"/>
          <w:szCs w:val="24"/>
        </w:rPr>
      </w:pPr>
      <w:r w:rsidRPr="002D204D">
        <w:rPr>
          <w:b/>
          <w:bCs/>
          <w:iCs/>
          <w:color w:val="000000"/>
          <w:szCs w:val="24"/>
        </w:rPr>
        <w:t>23.3. Анатомические области.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Большая половая губа (С 51.0).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Малая половая губа (С 51.1).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Клитор (С 51.2).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Поражение вульвы, выходящее за пределы одной и более вышеуказанных локализаций (С 51.8).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Вульва неуточненной части (С 51.9).</w:t>
      </w:r>
    </w:p>
    <w:p w:rsidR="006A0CE3" w:rsidRPr="00E41CE2" w:rsidRDefault="006A0CE3" w:rsidP="006A0CE3">
      <w:pPr>
        <w:ind w:firstLine="720"/>
        <w:jc w:val="both"/>
        <w:rPr>
          <w:b/>
          <w:color w:val="000000"/>
          <w:szCs w:val="24"/>
        </w:rPr>
      </w:pPr>
      <w:r w:rsidRPr="002D204D">
        <w:rPr>
          <w:b/>
          <w:color w:val="000000"/>
          <w:szCs w:val="24"/>
        </w:rPr>
        <w:t xml:space="preserve">23.4. Классификации </w:t>
      </w:r>
      <w:r w:rsidRPr="002D204D">
        <w:rPr>
          <w:b/>
          <w:color w:val="000000"/>
          <w:szCs w:val="24"/>
          <w:lang w:val="en-US"/>
        </w:rPr>
        <w:t>FIGO</w:t>
      </w:r>
      <w:r w:rsidRPr="002D204D">
        <w:rPr>
          <w:b/>
          <w:color w:val="000000"/>
          <w:szCs w:val="24"/>
        </w:rPr>
        <w:t xml:space="preserve"> и </w:t>
      </w:r>
      <w:r w:rsidRPr="002D204D">
        <w:rPr>
          <w:b/>
          <w:color w:val="000000"/>
          <w:szCs w:val="24"/>
          <w:lang w:val="en-US"/>
        </w:rPr>
        <w:t>TNM</w:t>
      </w:r>
      <w:r w:rsidRPr="002D204D">
        <w:rPr>
          <w:b/>
          <w:color w:val="000000"/>
          <w:szCs w:val="24"/>
        </w:rPr>
        <w:t xml:space="preserve"> (2016)</w:t>
      </w:r>
      <w:r w:rsidRPr="00E41CE2">
        <w:rPr>
          <w:b/>
          <w:color w:val="000000"/>
          <w:szCs w:val="24"/>
        </w:rPr>
        <w:t>.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lastRenderedPageBreak/>
        <w:t xml:space="preserve">Для стадирования используются классификации </w:t>
      </w:r>
      <w:r w:rsidRPr="002D204D">
        <w:rPr>
          <w:color w:val="000000"/>
          <w:szCs w:val="24"/>
          <w:lang w:val="en-US"/>
        </w:rPr>
        <w:t>FIGO</w:t>
      </w:r>
      <w:r w:rsidRPr="002D204D">
        <w:rPr>
          <w:color w:val="000000"/>
          <w:szCs w:val="24"/>
        </w:rPr>
        <w:t xml:space="preserve"> и </w:t>
      </w:r>
      <w:r w:rsidRPr="002D204D">
        <w:rPr>
          <w:color w:val="000000"/>
          <w:szCs w:val="24"/>
          <w:lang w:val="en-US"/>
        </w:rPr>
        <w:t>TNM</w:t>
      </w:r>
      <w:r w:rsidRPr="002D204D">
        <w:rPr>
          <w:color w:val="000000"/>
          <w:szCs w:val="24"/>
        </w:rPr>
        <w:t xml:space="preserve">. Для оценки стадии </w:t>
      </w:r>
      <w:r w:rsidRPr="002D204D">
        <w:rPr>
          <w:color w:val="000000"/>
          <w:szCs w:val="24"/>
          <w:lang w:val="en-US"/>
        </w:rPr>
        <w:t>FIGO</w:t>
      </w:r>
      <w:r w:rsidRPr="002D204D">
        <w:rPr>
          <w:color w:val="000000"/>
          <w:szCs w:val="24"/>
        </w:rPr>
        <w:t xml:space="preserve"> применяются данные хирургического вмешательства. У пациенток, не подвергнутых оперативному лечению, применяется клиническое стадирование.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Классификация применяется только для первичного рака вульвы. Должно быть гистологическое подтверждение диагноза. Рак вульвы, распространяющийся на влагалище, должен классифицироваться как рак вульвы.</w:t>
      </w:r>
    </w:p>
    <w:p w:rsidR="006A0CE3" w:rsidRPr="002D204D" w:rsidRDefault="006A0CE3" w:rsidP="006A0CE3">
      <w:pPr>
        <w:ind w:firstLine="720"/>
        <w:rPr>
          <w:color w:val="000000"/>
          <w:szCs w:val="24"/>
        </w:rPr>
      </w:pPr>
      <w:r w:rsidRPr="002D204D">
        <w:rPr>
          <w:color w:val="000000"/>
          <w:szCs w:val="24"/>
        </w:rPr>
        <w:t>23.4.1. Т – первичная опухоль.</w:t>
      </w:r>
    </w:p>
    <w:p w:rsidR="006A0CE3" w:rsidRPr="002D204D" w:rsidRDefault="006A0CE3" w:rsidP="006A0CE3">
      <w:pPr>
        <w:ind w:firstLine="709"/>
        <w:contextualSpacing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eastAsia="en-US"/>
        </w:rPr>
        <w:t>Тх – первичная опухоль не может быть оценена</w:t>
      </w:r>
    </w:p>
    <w:p w:rsidR="006A0CE3" w:rsidRPr="002D204D" w:rsidRDefault="006A0CE3" w:rsidP="006A0CE3">
      <w:pPr>
        <w:ind w:firstLine="709"/>
        <w:contextualSpacing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val="en-US" w:eastAsia="en-US"/>
        </w:rPr>
        <w:t>T</w:t>
      </w:r>
      <w:r w:rsidRPr="002D204D">
        <w:rPr>
          <w:rFonts w:eastAsia="Calibri"/>
          <w:szCs w:val="24"/>
          <w:lang w:eastAsia="en-US"/>
        </w:rPr>
        <w:t>0 – первичная опухоль не определяется</w:t>
      </w:r>
    </w:p>
    <w:p w:rsidR="006A0CE3" w:rsidRPr="002D204D" w:rsidRDefault="006A0CE3" w:rsidP="006A0CE3">
      <w:pPr>
        <w:ind w:firstLine="709"/>
        <w:contextualSpacing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val="en-US" w:eastAsia="en-US"/>
        </w:rPr>
        <w:t>Tis</w:t>
      </w:r>
      <w:r w:rsidRPr="002D204D">
        <w:rPr>
          <w:rFonts w:eastAsia="Calibri"/>
          <w:szCs w:val="24"/>
          <w:lang w:eastAsia="en-US"/>
        </w:rPr>
        <w:t xml:space="preserve"> – рак in situ (преинвазивный рак), интраэпителиальная неоплазия </w:t>
      </w:r>
      <w:r w:rsidRPr="002D204D">
        <w:rPr>
          <w:rFonts w:eastAsia="Calibri"/>
          <w:szCs w:val="24"/>
          <w:lang w:val="en-US" w:eastAsia="en-US"/>
        </w:rPr>
        <w:t>III</w:t>
      </w:r>
      <w:r w:rsidRPr="002D204D">
        <w:rPr>
          <w:rFonts w:eastAsia="Calibri"/>
          <w:szCs w:val="24"/>
          <w:lang w:eastAsia="en-US"/>
        </w:rPr>
        <w:t xml:space="preserve"> степени (VIN III)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val="en-US" w:eastAsia="en-US"/>
        </w:rPr>
        <w:t>T</w:t>
      </w:r>
      <w:r w:rsidRPr="002D204D">
        <w:rPr>
          <w:rFonts w:eastAsia="Calibri"/>
          <w:szCs w:val="24"/>
          <w:lang w:eastAsia="en-US"/>
        </w:rPr>
        <w:t>1 – опухоль ограничена вульвой или вульвой и промежностью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vertAlign w:val="superscript"/>
          <w:lang w:eastAsia="en-US"/>
        </w:rPr>
      </w:pPr>
      <w:r w:rsidRPr="002D204D">
        <w:rPr>
          <w:rFonts w:eastAsia="Calibri"/>
          <w:szCs w:val="24"/>
          <w:lang w:val="en-US" w:eastAsia="en-US"/>
        </w:rPr>
        <w:t>T</w:t>
      </w:r>
      <w:r w:rsidRPr="002D204D">
        <w:rPr>
          <w:rFonts w:eastAsia="Calibri"/>
          <w:szCs w:val="24"/>
          <w:lang w:eastAsia="en-US"/>
        </w:rPr>
        <w:t>1</w:t>
      </w:r>
      <w:r w:rsidRPr="002D204D">
        <w:rPr>
          <w:rFonts w:eastAsia="Calibri"/>
          <w:szCs w:val="24"/>
          <w:lang w:val="en-US" w:eastAsia="en-US"/>
        </w:rPr>
        <w:t>a</w:t>
      </w:r>
      <w:r w:rsidRPr="002D204D">
        <w:rPr>
          <w:rFonts w:eastAsia="Calibri"/>
          <w:szCs w:val="24"/>
          <w:lang w:eastAsia="en-US"/>
        </w:rPr>
        <w:t xml:space="preserve"> – опухоль до 2 см в наибольшем измерении с инвазией стромы не более 1мм</w:t>
      </w:r>
      <w:r w:rsidRPr="002D204D">
        <w:rPr>
          <w:rFonts w:eastAsia="Calibri"/>
          <w:szCs w:val="24"/>
          <w:vertAlign w:val="superscript"/>
          <w:lang w:eastAsia="en-US"/>
        </w:rPr>
        <w:t>1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val="en-US" w:eastAsia="en-US"/>
        </w:rPr>
        <w:t>T</w:t>
      </w:r>
      <w:r w:rsidRPr="002D204D">
        <w:rPr>
          <w:rFonts w:eastAsia="Calibri"/>
          <w:szCs w:val="24"/>
          <w:lang w:eastAsia="en-US"/>
        </w:rPr>
        <w:t>1</w:t>
      </w:r>
      <w:r w:rsidRPr="002D204D">
        <w:rPr>
          <w:rFonts w:eastAsia="Calibri"/>
          <w:szCs w:val="24"/>
          <w:lang w:val="en-US" w:eastAsia="en-US"/>
        </w:rPr>
        <w:t>b</w:t>
      </w:r>
      <w:r w:rsidRPr="002D204D">
        <w:rPr>
          <w:rFonts w:eastAsia="Calibri"/>
          <w:szCs w:val="24"/>
          <w:lang w:eastAsia="en-US"/>
        </w:rPr>
        <w:t xml:space="preserve"> – опухоль больше 2 см или с инвазией стромы более 1 мм</w:t>
      </w:r>
      <w:r w:rsidRPr="002D204D">
        <w:rPr>
          <w:rFonts w:eastAsia="Calibri"/>
          <w:szCs w:val="24"/>
          <w:vertAlign w:val="superscript"/>
          <w:lang w:eastAsia="en-US"/>
        </w:rPr>
        <w:t>1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val="en-US" w:eastAsia="en-US"/>
        </w:rPr>
        <w:t>T</w:t>
      </w:r>
      <w:r w:rsidRPr="002D204D">
        <w:rPr>
          <w:rFonts w:eastAsia="Calibri"/>
          <w:szCs w:val="24"/>
          <w:lang w:eastAsia="en-US"/>
        </w:rPr>
        <w:t>2 – опухоль любого размера с распространением на прилегающие структуры промежности: нижнюю треть мочеиспускательного канала, нижнюю треть влагалища и задний проход</w:t>
      </w:r>
    </w:p>
    <w:p w:rsidR="006A0CE3" w:rsidRPr="002D204D" w:rsidRDefault="006A0CE3" w:rsidP="006A0CE3">
      <w:pPr>
        <w:ind w:firstLine="709"/>
        <w:jc w:val="both"/>
        <w:rPr>
          <w:color w:val="000000"/>
          <w:szCs w:val="24"/>
        </w:rPr>
      </w:pPr>
      <w:r w:rsidRPr="002D204D">
        <w:rPr>
          <w:szCs w:val="24"/>
          <w:lang w:val="en-US"/>
        </w:rPr>
        <w:t>T</w:t>
      </w:r>
      <w:r w:rsidRPr="002D204D">
        <w:rPr>
          <w:szCs w:val="24"/>
        </w:rPr>
        <w:t>3</w:t>
      </w:r>
      <w:r w:rsidRPr="002D204D">
        <w:rPr>
          <w:szCs w:val="24"/>
          <w:vertAlign w:val="superscript"/>
        </w:rPr>
        <w:t>2</w:t>
      </w:r>
      <w:r w:rsidRPr="002D204D">
        <w:rPr>
          <w:szCs w:val="24"/>
        </w:rPr>
        <w:t xml:space="preserve"> – опухоль любого размера с распространением на следующие структуры: верхние 2/3 уретры, верхние 2/3 влагалища, слизистую мочевого пузыря, слизистую прямой кишки, или в случае фиксации ее к лобковой кости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 w:val="18"/>
          <w:szCs w:val="18"/>
          <w:lang w:eastAsia="en-US"/>
        </w:rPr>
      </w:pPr>
      <w:r w:rsidRPr="002D204D">
        <w:rPr>
          <w:rFonts w:eastAsia="Calibri"/>
          <w:sz w:val="18"/>
          <w:szCs w:val="18"/>
          <w:lang w:eastAsia="en-US"/>
        </w:rPr>
        <w:t xml:space="preserve">Примечание: 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 w:val="18"/>
          <w:szCs w:val="18"/>
          <w:lang w:eastAsia="en-US"/>
        </w:rPr>
      </w:pPr>
      <w:r w:rsidRPr="002D204D">
        <w:rPr>
          <w:rFonts w:eastAsia="Calibri"/>
          <w:sz w:val="18"/>
          <w:szCs w:val="18"/>
          <w:vertAlign w:val="superscript"/>
          <w:lang w:eastAsia="en-US"/>
        </w:rPr>
        <w:t xml:space="preserve">1 </w:t>
      </w:r>
      <w:r w:rsidRPr="002D204D">
        <w:rPr>
          <w:rFonts w:eastAsia="Calibri"/>
          <w:sz w:val="18"/>
          <w:szCs w:val="18"/>
          <w:lang w:eastAsia="en-US"/>
        </w:rPr>
        <w:t xml:space="preserve">Глубину инвазии определяют как расстояние от эпителиально-стромального соединения наиболее поверхностного дермального выроста до самой глубокой точки инвазии. </w:t>
      </w:r>
    </w:p>
    <w:p w:rsidR="006A0CE3" w:rsidRPr="002D204D" w:rsidRDefault="006A0CE3" w:rsidP="006A0CE3">
      <w:pPr>
        <w:ind w:firstLine="709"/>
        <w:rPr>
          <w:color w:val="000000"/>
          <w:sz w:val="18"/>
          <w:szCs w:val="18"/>
        </w:rPr>
      </w:pPr>
      <w:r w:rsidRPr="002D204D">
        <w:rPr>
          <w:sz w:val="18"/>
          <w:szCs w:val="18"/>
          <w:vertAlign w:val="superscript"/>
        </w:rPr>
        <w:t xml:space="preserve">2 </w:t>
      </w:r>
      <w:r w:rsidRPr="002D204D">
        <w:rPr>
          <w:sz w:val="18"/>
          <w:szCs w:val="18"/>
        </w:rPr>
        <w:t>FIGO не использует Т3.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23.4.2. </w:t>
      </w:r>
      <w:r w:rsidRPr="002D204D">
        <w:rPr>
          <w:color w:val="000000"/>
          <w:szCs w:val="24"/>
          <w:lang w:val="en-US"/>
        </w:rPr>
        <w:t>N</w:t>
      </w:r>
      <w:r w:rsidRPr="002D204D">
        <w:rPr>
          <w:color w:val="000000"/>
          <w:szCs w:val="24"/>
        </w:rPr>
        <w:t xml:space="preserve"> – регионарные лимфатические узлы.</w:t>
      </w:r>
    </w:p>
    <w:p w:rsidR="006A0CE3" w:rsidRPr="002D204D" w:rsidRDefault="006A0CE3" w:rsidP="006A0CE3">
      <w:pPr>
        <w:ind w:firstLine="720"/>
        <w:rPr>
          <w:color w:val="000000"/>
          <w:szCs w:val="24"/>
        </w:rPr>
      </w:pPr>
      <w:r w:rsidRPr="002D204D">
        <w:rPr>
          <w:color w:val="000000"/>
          <w:szCs w:val="24"/>
        </w:rPr>
        <w:t>Регионарными лимфатическими узлами для вульвы являются бедренные и паховые лимфатические узлы.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eastAsia="en-US"/>
        </w:rPr>
        <w:t>Nх</w:t>
      </w:r>
      <w:r w:rsidRPr="002D204D">
        <w:rPr>
          <w:rFonts w:ascii="Calibri" w:eastAsia="Calibri" w:hAnsi="Calibri"/>
          <w:color w:val="000000"/>
          <w:szCs w:val="24"/>
          <w:lang w:eastAsia="en-US"/>
        </w:rPr>
        <w:t xml:space="preserve"> – </w:t>
      </w:r>
      <w:r w:rsidRPr="002D204D">
        <w:rPr>
          <w:rFonts w:eastAsia="Calibri"/>
          <w:szCs w:val="24"/>
          <w:lang w:eastAsia="en-US"/>
        </w:rPr>
        <w:t>регионарные лимфоузлы не могут быть оценены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eastAsia="en-US"/>
        </w:rPr>
        <w:t>N0</w:t>
      </w:r>
      <w:r w:rsidRPr="002D204D">
        <w:rPr>
          <w:rFonts w:ascii="Calibri" w:eastAsia="Calibri" w:hAnsi="Calibri"/>
          <w:color w:val="000000"/>
          <w:szCs w:val="24"/>
          <w:lang w:eastAsia="en-US"/>
        </w:rPr>
        <w:t xml:space="preserve"> – </w:t>
      </w:r>
      <w:r w:rsidRPr="002D204D">
        <w:rPr>
          <w:rFonts w:eastAsia="Calibri"/>
          <w:szCs w:val="24"/>
          <w:lang w:eastAsia="en-US"/>
        </w:rPr>
        <w:t>метастазы в регионарных лимфоузлах не определяются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eastAsia="en-US"/>
        </w:rPr>
        <w:t>N1</w:t>
      </w:r>
      <w:r w:rsidRPr="002D204D">
        <w:rPr>
          <w:rFonts w:ascii="Calibri" w:eastAsia="Calibri" w:hAnsi="Calibri"/>
          <w:color w:val="000000"/>
          <w:szCs w:val="24"/>
          <w:lang w:eastAsia="en-US"/>
        </w:rPr>
        <w:t xml:space="preserve"> – </w:t>
      </w:r>
      <w:r w:rsidRPr="002D204D">
        <w:rPr>
          <w:rFonts w:eastAsia="Calibri"/>
          <w:szCs w:val="24"/>
          <w:lang w:eastAsia="en-US"/>
        </w:rPr>
        <w:t>метастазы в регионарных лимфоузлах со следующими признаками: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eastAsia="en-US"/>
        </w:rPr>
        <w:t>N1а</w:t>
      </w:r>
      <w:r w:rsidRPr="002D204D">
        <w:rPr>
          <w:rFonts w:ascii="Calibri" w:eastAsia="Calibri" w:hAnsi="Calibri"/>
          <w:color w:val="000000"/>
          <w:szCs w:val="24"/>
          <w:lang w:eastAsia="en-US"/>
        </w:rPr>
        <w:t xml:space="preserve"> – </w:t>
      </w:r>
      <w:r w:rsidRPr="002D204D">
        <w:rPr>
          <w:rFonts w:eastAsia="Calibri"/>
          <w:szCs w:val="24"/>
          <w:lang w:eastAsia="en-US"/>
        </w:rPr>
        <w:t>метастазы в 1-2 лимфоузлах, каждый менее 5 мм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eastAsia="en-US"/>
        </w:rPr>
        <w:lastRenderedPageBreak/>
        <w:t>N1b</w:t>
      </w:r>
      <w:r w:rsidRPr="002D204D">
        <w:rPr>
          <w:rFonts w:ascii="Calibri" w:eastAsia="Calibri" w:hAnsi="Calibri"/>
          <w:color w:val="000000"/>
          <w:szCs w:val="24"/>
          <w:lang w:eastAsia="en-US"/>
        </w:rPr>
        <w:t xml:space="preserve"> – </w:t>
      </w:r>
      <w:r w:rsidRPr="002D204D">
        <w:rPr>
          <w:rFonts w:eastAsia="Calibri"/>
          <w:szCs w:val="24"/>
          <w:lang w:eastAsia="en-US"/>
        </w:rPr>
        <w:t xml:space="preserve">метастазы размером 5 мм или более в 1 лимфоузле 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eastAsia="en-US"/>
        </w:rPr>
        <w:t>N2</w:t>
      </w:r>
      <w:r w:rsidRPr="002D204D">
        <w:rPr>
          <w:rFonts w:ascii="Calibri" w:eastAsia="Calibri" w:hAnsi="Calibri"/>
          <w:color w:val="000000"/>
          <w:szCs w:val="24"/>
          <w:lang w:eastAsia="en-US"/>
        </w:rPr>
        <w:t xml:space="preserve"> – </w:t>
      </w:r>
      <w:r w:rsidRPr="002D204D">
        <w:rPr>
          <w:rFonts w:eastAsia="Calibri"/>
          <w:szCs w:val="24"/>
          <w:lang w:eastAsia="en-US"/>
        </w:rPr>
        <w:t>метастазы в регионарных лимфоузлах со следующими признаками: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eastAsia="en-US"/>
        </w:rPr>
        <w:t>N2а</w:t>
      </w:r>
      <w:r w:rsidRPr="002D204D">
        <w:rPr>
          <w:rFonts w:ascii="Calibri" w:eastAsia="Calibri" w:hAnsi="Calibri"/>
          <w:color w:val="000000"/>
          <w:szCs w:val="24"/>
          <w:lang w:eastAsia="en-US"/>
        </w:rPr>
        <w:t xml:space="preserve"> – </w:t>
      </w:r>
      <w:r w:rsidRPr="002D204D">
        <w:rPr>
          <w:rFonts w:eastAsia="Calibri"/>
          <w:szCs w:val="24"/>
          <w:lang w:eastAsia="en-US"/>
        </w:rPr>
        <w:t>метастазы в 3 и более лимфоузлах, каждый менее 5 мм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eastAsia="en-US"/>
        </w:rPr>
        <w:t>N2b</w:t>
      </w:r>
      <w:r w:rsidRPr="002D204D">
        <w:rPr>
          <w:rFonts w:ascii="Calibri" w:eastAsia="Calibri" w:hAnsi="Calibri"/>
          <w:color w:val="000000"/>
          <w:szCs w:val="24"/>
          <w:lang w:eastAsia="en-US"/>
        </w:rPr>
        <w:t xml:space="preserve"> – </w:t>
      </w:r>
      <w:r w:rsidRPr="002D204D">
        <w:rPr>
          <w:rFonts w:eastAsia="Calibri"/>
          <w:szCs w:val="24"/>
          <w:lang w:eastAsia="en-US"/>
        </w:rPr>
        <w:t>метастазы в 2 и более лимфоузлах размером 5 мм или более</w:t>
      </w:r>
    </w:p>
    <w:p w:rsidR="006A0CE3" w:rsidRPr="002D204D" w:rsidRDefault="006A0CE3" w:rsidP="006A0CE3">
      <w:pPr>
        <w:ind w:firstLine="709"/>
        <w:contextualSpacing/>
        <w:jc w:val="both"/>
        <w:rPr>
          <w:rFonts w:eastAsia="Calibri"/>
          <w:szCs w:val="24"/>
          <w:lang w:eastAsia="en-US"/>
        </w:rPr>
      </w:pPr>
      <w:r w:rsidRPr="002D204D">
        <w:rPr>
          <w:rFonts w:eastAsia="Calibri"/>
          <w:szCs w:val="24"/>
          <w:lang w:eastAsia="en-US"/>
        </w:rPr>
        <w:t>N2c</w:t>
      </w:r>
      <w:r w:rsidRPr="002D204D">
        <w:rPr>
          <w:rFonts w:ascii="Calibri" w:eastAsia="Calibri" w:hAnsi="Calibri"/>
          <w:color w:val="000000"/>
          <w:szCs w:val="24"/>
          <w:lang w:eastAsia="en-US"/>
        </w:rPr>
        <w:t xml:space="preserve"> – </w:t>
      </w:r>
      <w:r w:rsidRPr="002D204D">
        <w:rPr>
          <w:rFonts w:eastAsia="Calibri"/>
          <w:szCs w:val="24"/>
          <w:lang w:eastAsia="en-US"/>
        </w:rPr>
        <w:t xml:space="preserve">метастазы в лимфоузлах с прорастанием капсулы 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09"/>
        <w:jc w:val="both"/>
        <w:rPr>
          <w:color w:val="000000"/>
          <w:szCs w:val="24"/>
        </w:rPr>
      </w:pPr>
      <w:r w:rsidRPr="002D204D">
        <w:rPr>
          <w:szCs w:val="24"/>
        </w:rPr>
        <w:t>N3</w:t>
      </w:r>
      <w:r w:rsidRPr="002D204D">
        <w:rPr>
          <w:color w:val="000000"/>
          <w:szCs w:val="24"/>
        </w:rPr>
        <w:t xml:space="preserve"> – </w:t>
      </w:r>
      <w:r w:rsidRPr="002D204D">
        <w:rPr>
          <w:szCs w:val="24"/>
        </w:rPr>
        <w:t>фиксированный или изъязвленный метастаз в регионарном лимфоузле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bookmarkStart w:id="1" w:name="_Toc128294645"/>
      <w:bookmarkStart w:id="2" w:name="_Toc128295551"/>
      <w:bookmarkStart w:id="3" w:name="_Toc128300024"/>
      <w:bookmarkStart w:id="4" w:name="_Toc128994912"/>
      <w:bookmarkStart w:id="5" w:name="_Toc148950420"/>
      <w:r w:rsidRPr="002D204D">
        <w:rPr>
          <w:color w:val="000000"/>
          <w:szCs w:val="24"/>
        </w:rPr>
        <w:t>23.4.3. М – отдаленные метастазы</w:t>
      </w:r>
      <w:bookmarkEnd w:id="1"/>
      <w:bookmarkEnd w:id="2"/>
      <w:bookmarkEnd w:id="3"/>
      <w:bookmarkEnd w:id="4"/>
      <w:r w:rsidRPr="002D204D">
        <w:rPr>
          <w:color w:val="000000"/>
          <w:szCs w:val="24"/>
        </w:rPr>
        <w:t>.</w:t>
      </w:r>
      <w:bookmarkEnd w:id="5"/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М0 – нет признаков отдаленных метастазов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М1 – имеются отдаленные метастазы (включая метастазы в тазовых лимфоузлах).</w:t>
      </w:r>
    </w:p>
    <w:p w:rsidR="006A0CE3" w:rsidRPr="002D204D" w:rsidRDefault="006A0CE3" w:rsidP="006A0CE3">
      <w:pPr>
        <w:ind w:firstLine="720"/>
        <w:jc w:val="both"/>
        <w:rPr>
          <w:szCs w:val="24"/>
        </w:rPr>
      </w:pPr>
      <w:bookmarkStart w:id="6" w:name="_Toc128294646"/>
      <w:bookmarkStart w:id="7" w:name="_Toc128295552"/>
      <w:bookmarkStart w:id="8" w:name="_Toc128300025"/>
      <w:bookmarkStart w:id="9" w:name="_Toc128994913"/>
      <w:r w:rsidRPr="002D204D">
        <w:rPr>
          <w:szCs w:val="24"/>
        </w:rPr>
        <w:t xml:space="preserve">23.4.4. </w:t>
      </w:r>
      <w:r w:rsidRPr="002D204D">
        <w:rPr>
          <w:szCs w:val="24"/>
          <w:lang w:val="en-US"/>
        </w:rPr>
        <w:t>pTNM</w:t>
      </w:r>
      <w:r w:rsidRPr="002D204D">
        <w:rPr>
          <w:color w:val="000000"/>
          <w:szCs w:val="24"/>
        </w:rPr>
        <w:t xml:space="preserve">– </w:t>
      </w:r>
      <w:r w:rsidRPr="002D204D">
        <w:rPr>
          <w:szCs w:val="24"/>
        </w:rPr>
        <w:t>патогистологическая классификация</w:t>
      </w:r>
      <w:bookmarkEnd w:id="6"/>
      <w:bookmarkEnd w:id="7"/>
      <w:bookmarkEnd w:id="8"/>
      <w:bookmarkEnd w:id="9"/>
      <w:r w:rsidRPr="002D204D">
        <w:rPr>
          <w:szCs w:val="24"/>
        </w:rPr>
        <w:t>.</w:t>
      </w:r>
      <w:bookmarkStart w:id="10" w:name="_Toc128294647"/>
      <w:bookmarkStart w:id="11" w:name="_Toc128295553"/>
      <w:bookmarkStart w:id="12" w:name="_Toc128300026"/>
      <w:bookmarkStart w:id="13" w:name="_Toc128994914"/>
    </w:p>
    <w:p w:rsidR="006A0CE3" w:rsidRPr="002D204D" w:rsidRDefault="006A0CE3" w:rsidP="006A0CE3">
      <w:pPr>
        <w:ind w:firstLine="720"/>
        <w:jc w:val="both"/>
        <w:rPr>
          <w:szCs w:val="24"/>
        </w:rPr>
      </w:pPr>
      <w:r w:rsidRPr="002D204D">
        <w:rPr>
          <w:szCs w:val="24"/>
        </w:rPr>
        <w:t xml:space="preserve">Требования к определению категорий рТ, </w:t>
      </w:r>
      <w:r w:rsidRPr="002D204D">
        <w:rPr>
          <w:szCs w:val="24"/>
          <w:lang w:val="en-US"/>
        </w:rPr>
        <w:t>pN</w:t>
      </w:r>
      <w:r w:rsidRPr="002D204D">
        <w:rPr>
          <w:szCs w:val="24"/>
        </w:rPr>
        <w:t xml:space="preserve"> и рМ соответствуют требованиям к определению категорий Т, </w:t>
      </w:r>
      <w:r w:rsidRPr="002D204D">
        <w:rPr>
          <w:szCs w:val="24"/>
          <w:lang w:val="en-US"/>
        </w:rPr>
        <w:t>N</w:t>
      </w:r>
      <w:r w:rsidRPr="002D204D">
        <w:rPr>
          <w:szCs w:val="24"/>
        </w:rPr>
        <w:t xml:space="preserve"> и М.</w:t>
      </w:r>
      <w:bookmarkEnd w:id="10"/>
      <w:bookmarkEnd w:id="11"/>
      <w:bookmarkEnd w:id="12"/>
      <w:bookmarkEnd w:id="13"/>
    </w:p>
    <w:p w:rsidR="006A0CE3" w:rsidRPr="002D204D" w:rsidRDefault="006A0CE3" w:rsidP="006A0CE3">
      <w:pPr>
        <w:ind w:firstLine="720"/>
        <w:jc w:val="both"/>
        <w:rPr>
          <w:szCs w:val="24"/>
        </w:rPr>
      </w:pPr>
      <w:bookmarkStart w:id="14" w:name="_Toc128294648"/>
      <w:bookmarkStart w:id="15" w:name="_Toc128295554"/>
      <w:bookmarkStart w:id="16" w:name="_Toc128300027"/>
      <w:bookmarkStart w:id="17" w:name="_Toc128994915"/>
      <w:r w:rsidRPr="002D204D">
        <w:rPr>
          <w:color w:val="000000"/>
          <w:szCs w:val="24"/>
        </w:rPr>
        <w:t>р</w:t>
      </w:r>
      <w:r w:rsidRPr="002D204D">
        <w:rPr>
          <w:color w:val="000000"/>
          <w:szCs w:val="24"/>
          <w:lang w:val="en-US"/>
        </w:rPr>
        <w:t>N</w:t>
      </w:r>
      <w:r w:rsidRPr="002D204D">
        <w:rPr>
          <w:color w:val="000000"/>
          <w:szCs w:val="24"/>
        </w:rPr>
        <w:t>0 – гистологическое исследование паховых лимфатических узлов обычно включает 6 и более узлов. Если лимфатические узлы не поражены, но число лимфатических узлов менее чем необходимо, следует классифицировать как р</w:t>
      </w:r>
      <w:r w:rsidRPr="002D204D">
        <w:rPr>
          <w:color w:val="000000"/>
          <w:szCs w:val="24"/>
          <w:lang w:val="en-US"/>
        </w:rPr>
        <w:t>N</w:t>
      </w:r>
      <w:r w:rsidRPr="002D204D">
        <w:rPr>
          <w:color w:val="000000"/>
          <w:szCs w:val="24"/>
        </w:rPr>
        <w:t>0.</w:t>
      </w:r>
      <w:bookmarkEnd w:id="14"/>
      <w:bookmarkEnd w:id="15"/>
      <w:bookmarkEnd w:id="16"/>
      <w:bookmarkEnd w:id="17"/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bookmarkStart w:id="18" w:name="_Toc128294649"/>
      <w:bookmarkStart w:id="19" w:name="_Toc128295555"/>
      <w:bookmarkStart w:id="20" w:name="_Toc128300028"/>
      <w:bookmarkStart w:id="21" w:name="_Toc128994916"/>
      <w:bookmarkStart w:id="22" w:name="_Toc148950421"/>
      <w:r w:rsidRPr="002D204D">
        <w:rPr>
          <w:szCs w:val="24"/>
        </w:rPr>
        <w:t xml:space="preserve">23.4.5. </w:t>
      </w:r>
      <w:r w:rsidRPr="002D204D">
        <w:rPr>
          <w:color w:val="000000"/>
          <w:szCs w:val="24"/>
          <w:lang w:val="en-US"/>
        </w:rPr>
        <w:t>G</w:t>
      </w:r>
      <w:r w:rsidRPr="002D204D">
        <w:rPr>
          <w:color w:val="000000"/>
          <w:szCs w:val="24"/>
        </w:rPr>
        <w:t xml:space="preserve"> – гистологическая дифференцировка</w:t>
      </w:r>
      <w:bookmarkEnd w:id="18"/>
      <w:bookmarkEnd w:id="19"/>
      <w:bookmarkEnd w:id="20"/>
      <w:bookmarkEnd w:id="21"/>
      <w:r w:rsidRPr="002D204D">
        <w:rPr>
          <w:color w:val="000000"/>
          <w:szCs w:val="24"/>
        </w:rPr>
        <w:t>.</w:t>
      </w:r>
      <w:bookmarkEnd w:id="22"/>
    </w:p>
    <w:p w:rsidR="006A0CE3" w:rsidRPr="002D204D" w:rsidRDefault="006A0CE3" w:rsidP="006A0CE3">
      <w:pPr>
        <w:ind w:firstLine="720"/>
        <w:jc w:val="both"/>
        <w:rPr>
          <w:color w:val="000000"/>
          <w:spacing w:val="-8"/>
          <w:szCs w:val="24"/>
        </w:rPr>
      </w:pPr>
      <w:bookmarkStart w:id="23" w:name="_Toc148950465"/>
      <w:bookmarkStart w:id="24" w:name="_Toc128294699"/>
      <w:bookmarkStart w:id="25" w:name="_Toc128295605"/>
      <w:bookmarkStart w:id="26" w:name="_Toc128300078"/>
      <w:bookmarkStart w:id="27" w:name="_Toc128994966"/>
      <w:r w:rsidRPr="002D204D">
        <w:rPr>
          <w:color w:val="000000"/>
          <w:spacing w:val="-8"/>
          <w:szCs w:val="24"/>
          <w:lang w:val="en-US"/>
        </w:rPr>
        <w:t>G</w:t>
      </w:r>
      <w:r w:rsidRPr="002D204D">
        <w:rPr>
          <w:color w:val="000000"/>
          <w:spacing w:val="-8"/>
          <w:szCs w:val="24"/>
        </w:rPr>
        <w:t>х – степень дифференцировки не может быть установлена</w:t>
      </w:r>
      <w:bookmarkEnd w:id="23"/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bookmarkStart w:id="28" w:name="_Toc148950466"/>
      <w:bookmarkStart w:id="29" w:name="_Toc128294700"/>
      <w:bookmarkStart w:id="30" w:name="_Toc128295606"/>
      <w:bookmarkStart w:id="31" w:name="_Toc128300079"/>
      <w:bookmarkStart w:id="32" w:name="_Toc128994967"/>
      <w:bookmarkEnd w:id="24"/>
      <w:bookmarkEnd w:id="25"/>
      <w:bookmarkEnd w:id="26"/>
      <w:bookmarkEnd w:id="27"/>
      <w:r w:rsidRPr="002D204D">
        <w:rPr>
          <w:color w:val="000000"/>
          <w:szCs w:val="24"/>
          <w:lang w:val="en-US"/>
        </w:rPr>
        <w:t>G</w:t>
      </w:r>
      <w:r w:rsidRPr="002D204D">
        <w:rPr>
          <w:color w:val="000000"/>
          <w:szCs w:val="24"/>
        </w:rPr>
        <w:t>1 – высокая степень дифференцировки</w:t>
      </w:r>
      <w:bookmarkEnd w:id="28"/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bookmarkStart w:id="33" w:name="_Toc128294701"/>
      <w:bookmarkStart w:id="34" w:name="_Toc128295607"/>
      <w:bookmarkStart w:id="35" w:name="_Toc128300080"/>
      <w:bookmarkStart w:id="36" w:name="_Toc128994968"/>
      <w:bookmarkStart w:id="37" w:name="_Toc148950467"/>
      <w:bookmarkEnd w:id="29"/>
      <w:bookmarkEnd w:id="30"/>
      <w:bookmarkEnd w:id="31"/>
      <w:bookmarkEnd w:id="32"/>
      <w:r w:rsidRPr="002D204D">
        <w:rPr>
          <w:color w:val="000000"/>
          <w:szCs w:val="24"/>
          <w:lang w:val="en-US"/>
        </w:rPr>
        <w:t>G</w:t>
      </w:r>
      <w:r w:rsidRPr="002D204D">
        <w:rPr>
          <w:color w:val="000000"/>
          <w:szCs w:val="24"/>
        </w:rPr>
        <w:t>2 – средняя степень дифференцировки</w:t>
      </w:r>
      <w:bookmarkStart w:id="38" w:name="_Toc128294702"/>
      <w:bookmarkStart w:id="39" w:name="_Toc128295608"/>
      <w:bookmarkStart w:id="40" w:name="_Toc128300081"/>
      <w:bookmarkStart w:id="41" w:name="_Toc128994969"/>
      <w:bookmarkStart w:id="42" w:name="_Toc148950468"/>
      <w:bookmarkEnd w:id="33"/>
      <w:bookmarkEnd w:id="34"/>
      <w:bookmarkEnd w:id="35"/>
      <w:bookmarkEnd w:id="36"/>
      <w:bookmarkEnd w:id="37"/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  <w:lang w:val="en-US"/>
        </w:rPr>
        <w:t>G</w:t>
      </w:r>
      <w:r w:rsidRPr="002D204D">
        <w:rPr>
          <w:color w:val="000000"/>
          <w:szCs w:val="24"/>
        </w:rPr>
        <w:t>3 – низкая степень дифференцировки или</w:t>
      </w:r>
      <w:bookmarkStart w:id="43" w:name="_Toc128294703"/>
      <w:bookmarkStart w:id="44" w:name="_Toc128295609"/>
      <w:bookmarkStart w:id="45" w:name="_Toc128300082"/>
      <w:bookmarkStart w:id="46" w:name="_Toc128994970"/>
      <w:bookmarkEnd w:id="38"/>
      <w:bookmarkEnd w:id="39"/>
      <w:bookmarkEnd w:id="40"/>
      <w:bookmarkEnd w:id="41"/>
      <w:bookmarkEnd w:id="42"/>
      <w:r w:rsidRPr="002D204D">
        <w:rPr>
          <w:color w:val="000000"/>
          <w:szCs w:val="24"/>
        </w:rPr>
        <w:t xml:space="preserve"> недифференцированный рак</w:t>
      </w:r>
      <w:bookmarkEnd w:id="43"/>
      <w:bookmarkEnd w:id="44"/>
      <w:bookmarkEnd w:id="45"/>
      <w:bookmarkEnd w:id="46"/>
    </w:p>
    <w:p w:rsidR="006A0CE3" w:rsidRPr="002D204D" w:rsidRDefault="006A0CE3" w:rsidP="006A0CE3">
      <w:pPr>
        <w:tabs>
          <w:tab w:val="center" w:pos="4677"/>
          <w:tab w:val="right" w:pos="9355"/>
        </w:tabs>
        <w:ind w:firstLine="709"/>
        <w:jc w:val="both"/>
        <w:rPr>
          <w:color w:val="000000"/>
          <w:szCs w:val="24"/>
        </w:rPr>
      </w:pPr>
      <w:bookmarkStart w:id="47" w:name="_Toc128294655"/>
      <w:bookmarkStart w:id="48" w:name="_Toc128295561"/>
      <w:bookmarkStart w:id="49" w:name="_Toc128300034"/>
      <w:bookmarkStart w:id="50" w:name="_Toc128994922"/>
      <w:bookmarkStart w:id="51" w:name="_Toc148950426"/>
      <w:r w:rsidRPr="002D204D">
        <w:rPr>
          <w:szCs w:val="24"/>
        </w:rPr>
        <w:t xml:space="preserve">23.5. </w:t>
      </w:r>
      <w:r w:rsidRPr="002D204D">
        <w:rPr>
          <w:color w:val="000000"/>
          <w:szCs w:val="24"/>
        </w:rPr>
        <w:t>Резюме (таблица 23.2).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right"/>
        <w:rPr>
          <w:color w:val="000000"/>
          <w:szCs w:val="24"/>
        </w:rPr>
      </w:pPr>
      <w:r w:rsidRPr="002D204D">
        <w:rPr>
          <w:color w:val="000000"/>
          <w:szCs w:val="24"/>
        </w:rPr>
        <w:t>Таблица 23.2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center"/>
        <w:rPr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65"/>
        <w:gridCol w:w="1190"/>
        <w:gridCol w:w="6287"/>
      </w:tblGrid>
      <w:tr w:rsidR="006A0CE3" w:rsidRPr="002D204D" w:rsidTr="0091738A">
        <w:tc>
          <w:tcPr>
            <w:tcW w:w="965" w:type="dxa"/>
          </w:tcPr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TNM</w:t>
            </w:r>
          </w:p>
        </w:tc>
        <w:tc>
          <w:tcPr>
            <w:tcW w:w="1190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FIGO</w:t>
            </w:r>
          </w:p>
        </w:tc>
        <w:tc>
          <w:tcPr>
            <w:tcW w:w="628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</w:p>
        </w:tc>
      </w:tr>
      <w:tr w:rsidR="006A0CE3" w:rsidRPr="002D204D" w:rsidTr="0091738A">
        <w:tc>
          <w:tcPr>
            <w:tcW w:w="965" w:type="dxa"/>
            <w:tcBorders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Т1</w:t>
            </w:r>
          </w:p>
        </w:tc>
        <w:tc>
          <w:tcPr>
            <w:tcW w:w="1190" w:type="dxa"/>
            <w:tcBorders>
              <w:bottom w:val="nil"/>
            </w:tcBorders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</w:t>
            </w:r>
          </w:p>
        </w:tc>
        <w:tc>
          <w:tcPr>
            <w:tcW w:w="6287" w:type="dxa"/>
            <w:tcBorders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 xml:space="preserve">Ограничена вульвой/промежностью </w:t>
            </w:r>
          </w:p>
        </w:tc>
      </w:tr>
      <w:tr w:rsidR="006A0CE3" w:rsidRPr="002D204D" w:rsidTr="0091738A">
        <w:tc>
          <w:tcPr>
            <w:tcW w:w="965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lastRenderedPageBreak/>
              <w:t>Т1а</w:t>
            </w:r>
          </w:p>
        </w:tc>
        <w:tc>
          <w:tcPr>
            <w:tcW w:w="1190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IA</w:t>
            </w:r>
          </w:p>
        </w:tc>
        <w:tc>
          <w:tcPr>
            <w:tcW w:w="6287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≤ 2 см со стромальной инвазией ≤1,0 мм</w:t>
            </w:r>
          </w:p>
        </w:tc>
      </w:tr>
      <w:tr w:rsidR="006A0CE3" w:rsidRPr="002D204D" w:rsidTr="0091738A">
        <w:tc>
          <w:tcPr>
            <w:tcW w:w="965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Т1b</w:t>
            </w:r>
          </w:p>
        </w:tc>
        <w:tc>
          <w:tcPr>
            <w:tcW w:w="1190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IB</w:t>
            </w:r>
          </w:p>
        </w:tc>
        <w:tc>
          <w:tcPr>
            <w:tcW w:w="6287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&gt; 2 см или стромальная инвазия &gt;1,0 мм</w:t>
            </w:r>
          </w:p>
        </w:tc>
      </w:tr>
      <w:tr w:rsidR="006A0CE3" w:rsidRPr="002D204D" w:rsidTr="0091738A">
        <w:tc>
          <w:tcPr>
            <w:tcW w:w="965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Т2</w:t>
            </w:r>
          </w:p>
        </w:tc>
        <w:tc>
          <w:tcPr>
            <w:tcW w:w="1190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II</w:t>
            </w:r>
          </w:p>
        </w:tc>
        <w:tc>
          <w:tcPr>
            <w:tcW w:w="6287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Нижняя треть уретры/влагалища/анус</w:t>
            </w:r>
          </w:p>
        </w:tc>
      </w:tr>
      <w:tr w:rsidR="006A0CE3" w:rsidRPr="002D204D" w:rsidTr="0091738A">
        <w:tc>
          <w:tcPr>
            <w:tcW w:w="965" w:type="dxa"/>
            <w:tcBorders>
              <w:top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Т3</w:t>
            </w:r>
          </w:p>
        </w:tc>
        <w:tc>
          <w:tcPr>
            <w:tcW w:w="1190" w:type="dxa"/>
            <w:tcBorders>
              <w:top w:val="nil"/>
            </w:tcBorders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IVA</w:t>
            </w:r>
          </w:p>
        </w:tc>
        <w:tc>
          <w:tcPr>
            <w:tcW w:w="6287" w:type="dxa"/>
            <w:tcBorders>
              <w:top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Верхняя 2/3 уретры/влагалища/слизистой мочевого пузыря/прямой кишки, или фиксирована к лобковой кости</w:t>
            </w:r>
          </w:p>
        </w:tc>
      </w:tr>
      <w:tr w:rsidR="006A0CE3" w:rsidRPr="002D204D" w:rsidTr="0091738A">
        <w:tc>
          <w:tcPr>
            <w:tcW w:w="965" w:type="dxa"/>
            <w:tcBorders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N1</w:t>
            </w:r>
            <w:r w:rsidRPr="002D204D">
              <w:rPr>
                <w:rFonts w:eastAsia="Calibri"/>
                <w:szCs w:val="24"/>
                <w:lang w:eastAsia="en-US"/>
              </w:rPr>
              <w:t>а</w:t>
            </w:r>
          </w:p>
        </w:tc>
        <w:tc>
          <w:tcPr>
            <w:tcW w:w="1190" w:type="dxa"/>
            <w:tcBorders>
              <w:bottom w:val="nil"/>
            </w:tcBorders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IIIA</w:t>
            </w:r>
          </w:p>
        </w:tc>
        <w:tc>
          <w:tcPr>
            <w:tcW w:w="6287" w:type="dxa"/>
            <w:tcBorders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1-2 узла &lt; 5 мм</w:t>
            </w:r>
          </w:p>
        </w:tc>
      </w:tr>
      <w:tr w:rsidR="006A0CE3" w:rsidRPr="002D204D" w:rsidTr="0091738A">
        <w:tc>
          <w:tcPr>
            <w:tcW w:w="965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N1b</w:t>
            </w:r>
          </w:p>
        </w:tc>
        <w:tc>
          <w:tcPr>
            <w:tcW w:w="1190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IIIA</w:t>
            </w:r>
          </w:p>
        </w:tc>
        <w:tc>
          <w:tcPr>
            <w:tcW w:w="6287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1 узел ≥ 5 мм</w:t>
            </w:r>
          </w:p>
        </w:tc>
      </w:tr>
      <w:tr w:rsidR="006A0CE3" w:rsidRPr="002D204D" w:rsidTr="0091738A">
        <w:tc>
          <w:tcPr>
            <w:tcW w:w="965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N2a</w:t>
            </w:r>
          </w:p>
        </w:tc>
        <w:tc>
          <w:tcPr>
            <w:tcW w:w="1190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IIIB</w:t>
            </w:r>
          </w:p>
        </w:tc>
        <w:tc>
          <w:tcPr>
            <w:tcW w:w="6287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3 и более узлов &lt; 5 мм</w:t>
            </w:r>
          </w:p>
        </w:tc>
      </w:tr>
      <w:tr w:rsidR="006A0CE3" w:rsidRPr="002D204D" w:rsidTr="0091738A">
        <w:tc>
          <w:tcPr>
            <w:tcW w:w="965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N2b</w:t>
            </w:r>
          </w:p>
        </w:tc>
        <w:tc>
          <w:tcPr>
            <w:tcW w:w="1190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IIIB</w:t>
            </w:r>
          </w:p>
        </w:tc>
        <w:tc>
          <w:tcPr>
            <w:tcW w:w="6287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2 и более узлов ≥ 5 мм</w:t>
            </w:r>
          </w:p>
        </w:tc>
      </w:tr>
      <w:tr w:rsidR="006A0CE3" w:rsidRPr="002D204D" w:rsidTr="0091738A">
        <w:tc>
          <w:tcPr>
            <w:tcW w:w="965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N2c</w:t>
            </w:r>
          </w:p>
        </w:tc>
        <w:tc>
          <w:tcPr>
            <w:tcW w:w="1190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IIIC</w:t>
            </w:r>
          </w:p>
        </w:tc>
        <w:tc>
          <w:tcPr>
            <w:tcW w:w="6287" w:type="dxa"/>
            <w:tcBorders>
              <w:top w:val="nil"/>
              <w:bottom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 xml:space="preserve">С прорастанием капсулы </w:t>
            </w:r>
          </w:p>
        </w:tc>
      </w:tr>
      <w:tr w:rsidR="006A0CE3" w:rsidRPr="002D204D" w:rsidTr="0091738A">
        <w:tc>
          <w:tcPr>
            <w:tcW w:w="965" w:type="dxa"/>
            <w:tcBorders>
              <w:top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N3</w:t>
            </w:r>
          </w:p>
        </w:tc>
        <w:tc>
          <w:tcPr>
            <w:tcW w:w="1190" w:type="dxa"/>
            <w:tcBorders>
              <w:top w:val="nil"/>
            </w:tcBorders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IVA</w:t>
            </w:r>
          </w:p>
        </w:tc>
        <w:tc>
          <w:tcPr>
            <w:tcW w:w="6287" w:type="dxa"/>
            <w:tcBorders>
              <w:top w:val="nil"/>
            </w:tcBorders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 xml:space="preserve">Неподвижный </w:t>
            </w:r>
          </w:p>
        </w:tc>
      </w:tr>
      <w:tr w:rsidR="006A0CE3" w:rsidRPr="002D204D" w:rsidTr="0091738A">
        <w:tc>
          <w:tcPr>
            <w:tcW w:w="965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M1</w:t>
            </w:r>
          </w:p>
        </w:tc>
        <w:tc>
          <w:tcPr>
            <w:tcW w:w="1190" w:type="dxa"/>
          </w:tcPr>
          <w:p w:rsidR="006A0CE3" w:rsidRPr="002D204D" w:rsidRDefault="006A0CE3" w:rsidP="0091738A">
            <w:pPr>
              <w:ind w:left="31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IVB</w:t>
            </w:r>
          </w:p>
        </w:tc>
        <w:tc>
          <w:tcPr>
            <w:tcW w:w="628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Отдаленные метастазы</w:t>
            </w:r>
          </w:p>
        </w:tc>
      </w:tr>
    </w:tbl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  <w:szCs w:val="24"/>
        </w:rPr>
      </w:pPr>
    </w:p>
    <w:p w:rsidR="006A0CE3" w:rsidRPr="002D204D" w:rsidRDefault="006A0CE3" w:rsidP="006A0CE3">
      <w:pPr>
        <w:ind w:firstLine="709"/>
        <w:jc w:val="both"/>
        <w:rPr>
          <w:color w:val="000000"/>
          <w:szCs w:val="24"/>
        </w:rPr>
      </w:pPr>
      <w:r w:rsidRPr="002D204D">
        <w:rPr>
          <w:szCs w:val="24"/>
        </w:rPr>
        <w:t xml:space="preserve">23.6. </w:t>
      </w:r>
      <w:r w:rsidRPr="002D204D">
        <w:rPr>
          <w:color w:val="000000"/>
          <w:szCs w:val="24"/>
        </w:rPr>
        <w:t>Группировка по стадиям</w:t>
      </w:r>
      <w:bookmarkEnd w:id="47"/>
      <w:bookmarkEnd w:id="48"/>
      <w:bookmarkEnd w:id="49"/>
      <w:bookmarkEnd w:id="50"/>
      <w:r w:rsidRPr="002D204D">
        <w:rPr>
          <w:color w:val="000000"/>
          <w:szCs w:val="24"/>
        </w:rPr>
        <w:t xml:space="preserve"> (таблица 23.3).</w:t>
      </w:r>
      <w:bookmarkEnd w:id="51"/>
    </w:p>
    <w:p w:rsidR="006A0CE3" w:rsidRPr="002D204D" w:rsidRDefault="006A0CE3" w:rsidP="006A0CE3">
      <w:pPr>
        <w:jc w:val="right"/>
        <w:rPr>
          <w:szCs w:val="24"/>
        </w:rPr>
      </w:pPr>
      <w:r w:rsidRPr="002D204D">
        <w:rPr>
          <w:szCs w:val="24"/>
        </w:rPr>
        <w:t>Таблица 23.3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77"/>
        <w:gridCol w:w="2220"/>
        <w:gridCol w:w="2221"/>
        <w:gridCol w:w="2221"/>
      </w:tblGrid>
      <w:tr w:rsidR="006A0CE3" w:rsidRPr="002D204D" w:rsidTr="0091738A">
        <w:tc>
          <w:tcPr>
            <w:tcW w:w="297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vertAlign w:val="superscript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Стадия 0</w:t>
            </w:r>
          </w:p>
        </w:tc>
        <w:tc>
          <w:tcPr>
            <w:tcW w:w="2220" w:type="dxa"/>
          </w:tcPr>
          <w:p w:rsidR="006A0CE3" w:rsidRPr="002D204D" w:rsidRDefault="006A0CE3" w:rsidP="0091738A">
            <w:pPr>
              <w:ind w:left="459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Tis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ind w:left="50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N0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6A0CE3" w:rsidRPr="002D204D" w:rsidTr="0091738A">
        <w:tc>
          <w:tcPr>
            <w:tcW w:w="297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Стадия I</w:t>
            </w:r>
          </w:p>
        </w:tc>
        <w:tc>
          <w:tcPr>
            <w:tcW w:w="2220" w:type="dxa"/>
          </w:tcPr>
          <w:p w:rsidR="006A0CE3" w:rsidRPr="002D204D" w:rsidRDefault="006A0CE3" w:rsidP="0091738A">
            <w:pPr>
              <w:ind w:left="459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Т1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ind w:left="50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N0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6A0CE3" w:rsidRPr="002D204D" w:rsidTr="0091738A">
        <w:tc>
          <w:tcPr>
            <w:tcW w:w="297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Стадия IА</w:t>
            </w:r>
          </w:p>
        </w:tc>
        <w:tc>
          <w:tcPr>
            <w:tcW w:w="2220" w:type="dxa"/>
          </w:tcPr>
          <w:p w:rsidR="006A0CE3" w:rsidRPr="002D204D" w:rsidRDefault="006A0CE3" w:rsidP="0091738A">
            <w:pPr>
              <w:ind w:left="459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Т1а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ind w:left="50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N0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6A0CE3" w:rsidRPr="002D204D" w:rsidTr="0091738A">
        <w:tc>
          <w:tcPr>
            <w:tcW w:w="297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Стадия IВ</w:t>
            </w:r>
          </w:p>
        </w:tc>
        <w:tc>
          <w:tcPr>
            <w:tcW w:w="2220" w:type="dxa"/>
          </w:tcPr>
          <w:p w:rsidR="006A0CE3" w:rsidRPr="002D204D" w:rsidRDefault="006A0CE3" w:rsidP="0091738A">
            <w:pPr>
              <w:ind w:left="459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Т1b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ind w:left="50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N0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6A0CE3" w:rsidRPr="002D204D" w:rsidTr="0091738A">
        <w:tc>
          <w:tcPr>
            <w:tcW w:w="297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Стадия II</w:t>
            </w:r>
          </w:p>
        </w:tc>
        <w:tc>
          <w:tcPr>
            <w:tcW w:w="2220" w:type="dxa"/>
          </w:tcPr>
          <w:p w:rsidR="006A0CE3" w:rsidRPr="002D204D" w:rsidRDefault="006A0CE3" w:rsidP="0091738A">
            <w:pPr>
              <w:ind w:left="459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Т2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ind w:left="50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N0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6A0CE3" w:rsidRPr="002D204D" w:rsidTr="0091738A">
        <w:tc>
          <w:tcPr>
            <w:tcW w:w="297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Стадия IIIА</w:t>
            </w:r>
          </w:p>
        </w:tc>
        <w:tc>
          <w:tcPr>
            <w:tcW w:w="2220" w:type="dxa"/>
          </w:tcPr>
          <w:p w:rsidR="006A0CE3" w:rsidRPr="002D204D" w:rsidRDefault="006A0CE3" w:rsidP="0091738A">
            <w:pPr>
              <w:ind w:left="459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Т1, Т2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ind w:left="50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N1a, N1b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6A0CE3" w:rsidRPr="002D204D" w:rsidTr="0091738A">
        <w:tc>
          <w:tcPr>
            <w:tcW w:w="297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Стадия IIIВ</w:t>
            </w:r>
          </w:p>
        </w:tc>
        <w:tc>
          <w:tcPr>
            <w:tcW w:w="2220" w:type="dxa"/>
          </w:tcPr>
          <w:p w:rsidR="006A0CE3" w:rsidRPr="002D204D" w:rsidRDefault="006A0CE3" w:rsidP="0091738A">
            <w:pPr>
              <w:ind w:left="459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Т1, Т2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ind w:left="507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N2a, N2b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6A0CE3" w:rsidRPr="002D204D" w:rsidTr="0091738A">
        <w:tc>
          <w:tcPr>
            <w:tcW w:w="297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Стадия IIIС</w:t>
            </w:r>
          </w:p>
        </w:tc>
        <w:tc>
          <w:tcPr>
            <w:tcW w:w="2220" w:type="dxa"/>
          </w:tcPr>
          <w:p w:rsidR="006A0CE3" w:rsidRPr="002D204D" w:rsidRDefault="006A0CE3" w:rsidP="0091738A">
            <w:pPr>
              <w:ind w:left="459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Т1, Т2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ind w:left="50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N2c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6A0CE3" w:rsidRPr="002D204D" w:rsidTr="0091738A">
        <w:tc>
          <w:tcPr>
            <w:tcW w:w="297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Стадия IVA</w:t>
            </w:r>
          </w:p>
        </w:tc>
        <w:tc>
          <w:tcPr>
            <w:tcW w:w="2220" w:type="dxa"/>
          </w:tcPr>
          <w:p w:rsidR="006A0CE3" w:rsidRPr="002D204D" w:rsidRDefault="006A0CE3" w:rsidP="0091738A">
            <w:pPr>
              <w:ind w:left="459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Т1, Т2</w:t>
            </w:r>
          </w:p>
          <w:p w:rsidR="006A0CE3" w:rsidRPr="002D204D" w:rsidRDefault="006A0CE3" w:rsidP="0091738A">
            <w:pPr>
              <w:ind w:left="459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Т3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ind w:left="50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N3</w:t>
            </w:r>
          </w:p>
          <w:p w:rsidR="006A0CE3" w:rsidRPr="002D204D" w:rsidRDefault="006A0CE3" w:rsidP="0091738A">
            <w:pPr>
              <w:ind w:left="50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Любая</w:t>
            </w:r>
            <w:r w:rsidRPr="002D204D">
              <w:rPr>
                <w:rFonts w:eastAsia="Calibri"/>
                <w:szCs w:val="24"/>
                <w:lang w:val="en-US" w:eastAsia="en-US"/>
              </w:rPr>
              <w:t xml:space="preserve"> N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M0</w:t>
            </w:r>
          </w:p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6A0CE3" w:rsidRPr="002D204D" w:rsidTr="0091738A">
        <w:tc>
          <w:tcPr>
            <w:tcW w:w="2977" w:type="dxa"/>
          </w:tcPr>
          <w:p w:rsidR="006A0CE3" w:rsidRPr="002D204D" w:rsidRDefault="006A0CE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Стадия IVВ</w:t>
            </w:r>
          </w:p>
        </w:tc>
        <w:tc>
          <w:tcPr>
            <w:tcW w:w="2220" w:type="dxa"/>
          </w:tcPr>
          <w:p w:rsidR="006A0CE3" w:rsidRPr="002D204D" w:rsidRDefault="006A0CE3" w:rsidP="0091738A">
            <w:pPr>
              <w:ind w:left="459"/>
              <w:contextualSpacing/>
              <w:rPr>
                <w:rFonts w:eastAsia="Calibri"/>
                <w:szCs w:val="24"/>
                <w:lang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Любая Т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ind w:left="507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eastAsia="en-US"/>
              </w:rPr>
              <w:t>Любая</w:t>
            </w:r>
            <w:r w:rsidRPr="002D204D">
              <w:rPr>
                <w:rFonts w:eastAsia="Calibri"/>
                <w:szCs w:val="24"/>
                <w:lang w:val="en-US" w:eastAsia="en-US"/>
              </w:rPr>
              <w:t>N</w:t>
            </w:r>
          </w:p>
        </w:tc>
        <w:tc>
          <w:tcPr>
            <w:tcW w:w="2221" w:type="dxa"/>
          </w:tcPr>
          <w:p w:rsidR="006A0CE3" w:rsidRPr="002D204D" w:rsidRDefault="006A0CE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2D204D">
              <w:rPr>
                <w:rFonts w:eastAsia="Calibri"/>
                <w:szCs w:val="24"/>
                <w:lang w:val="en-US" w:eastAsia="en-US"/>
              </w:rPr>
              <w:t>M1</w:t>
            </w:r>
          </w:p>
        </w:tc>
      </w:tr>
    </w:tbl>
    <w:p w:rsidR="006A0CE3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  <w:szCs w:val="24"/>
        </w:rPr>
      </w:pPr>
    </w:p>
    <w:p w:rsidR="006A0CE3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  <w:szCs w:val="24"/>
        </w:rPr>
      </w:pPr>
    </w:p>
    <w:p w:rsidR="006A0CE3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  <w:szCs w:val="24"/>
        </w:rPr>
      </w:pPr>
    </w:p>
    <w:p w:rsidR="006A0CE3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  <w:szCs w:val="24"/>
        </w:rPr>
      </w:pP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  <w:szCs w:val="24"/>
        </w:rPr>
      </w:pP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23.7 Факторы прогноза рака вульвы</w:t>
      </w:r>
      <w:r w:rsidRPr="002D204D">
        <w:rPr>
          <w:color w:val="000000"/>
          <w:szCs w:val="24"/>
          <w:vertAlign w:val="superscript"/>
        </w:rPr>
        <w:t xml:space="preserve">1 </w:t>
      </w:r>
      <w:r w:rsidRPr="002D204D">
        <w:rPr>
          <w:color w:val="000000"/>
          <w:szCs w:val="24"/>
        </w:rPr>
        <w:t>(таблица 23.4)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right"/>
        <w:rPr>
          <w:color w:val="000000"/>
          <w:szCs w:val="24"/>
        </w:rPr>
      </w:pPr>
      <w:r w:rsidRPr="002D204D">
        <w:rPr>
          <w:color w:val="000000"/>
          <w:szCs w:val="24"/>
        </w:rPr>
        <w:t>Таблица 23.4</w:t>
      </w:r>
    </w:p>
    <w:tbl>
      <w:tblPr>
        <w:tblStyle w:val="21"/>
        <w:tblW w:w="0" w:type="auto"/>
        <w:tblLook w:val="04A0"/>
      </w:tblPr>
      <w:tblGrid>
        <w:gridCol w:w="2115"/>
        <w:gridCol w:w="2668"/>
        <w:gridCol w:w="2393"/>
        <w:gridCol w:w="2395"/>
      </w:tblGrid>
      <w:tr w:rsidR="006A0CE3" w:rsidRPr="002D204D" w:rsidTr="0091738A">
        <w:tc>
          <w:tcPr>
            <w:tcW w:w="2122" w:type="dxa"/>
          </w:tcPr>
          <w:p w:rsidR="006A0CE3" w:rsidRPr="002D204D" w:rsidRDefault="006A0CE3" w:rsidP="0091738A">
            <w:pPr>
              <w:rPr>
                <w:b/>
                <w:color w:val="000000"/>
              </w:rPr>
            </w:pPr>
            <w:r w:rsidRPr="002D204D">
              <w:rPr>
                <w:b/>
                <w:color w:val="000000"/>
              </w:rPr>
              <w:lastRenderedPageBreak/>
              <w:t>Прогностические факторы</w:t>
            </w:r>
          </w:p>
        </w:tc>
        <w:tc>
          <w:tcPr>
            <w:tcW w:w="2692" w:type="dxa"/>
          </w:tcPr>
          <w:p w:rsidR="006A0CE3" w:rsidRPr="002D204D" w:rsidRDefault="006A0CE3" w:rsidP="0091738A">
            <w:pPr>
              <w:jc w:val="center"/>
              <w:rPr>
                <w:b/>
                <w:color w:val="000000"/>
              </w:rPr>
            </w:pPr>
            <w:r w:rsidRPr="002D204D">
              <w:rPr>
                <w:b/>
                <w:color w:val="000000"/>
              </w:rPr>
              <w:t>Связанные с опухолью</w:t>
            </w:r>
          </w:p>
        </w:tc>
        <w:tc>
          <w:tcPr>
            <w:tcW w:w="2407" w:type="dxa"/>
          </w:tcPr>
          <w:p w:rsidR="006A0CE3" w:rsidRPr="002D204D" w:rsidRDefault="006A0CE3" w:rsidP="0091738A">
            <w:pPr>
              <w:jc w:val="center"/>
              <w:rPr>
                <w:b/>
                <w:color w:val="000000"/>
              </w:rPr>
            </w:pPr>
            <w:r w:rsidRPr="002D204D">
              <w:rPr>
                <w:b/>
                <w:color w:val="000000"/>
              </w:rPr>
              <w:t>Связанные с организмом</w:t>
            </w:r>
          </w:p>
        </w:tc>
        <w:tc>
          <w:tcPr>
            <w:tcW w:w="2407" w:type="dxa"/>
          </w:tcPr>
          <w:p w:rsidR="006A0CE3" w:rsidRPr="002D204D" w:rsidRDefault="006A0CE3" w:rsidP="0091738A">
            <w:pPr>
              <w:jc w:val="center"/>
              <w:rPr>
                <w:b/>
                <w:color w:val="000000"/>
              </w:rPr>
            </w:pPr>
            <w:r w:rsidRPr="002D204D">
              <w:rPr>
                <w:b/>
                <w:color w:val="000000"/>
              </w:rPr>
              <w:t>Экзогенные факторы</w:t>
            </w:r>
          </w:p>
        </w:tc>
      </w:tr>
      <w:tr w:rsidR="006A0CE3" w:rsidRPr="002D204D" w:rsidTr="0091738A">
        <w:tc>
          <w:tcPr>
            <w:tcW w:w="2122" w:type="dxa"/>
          </w:tcPr>
          <w:p w:rsidR="006A0CE3" w:rsidRPr="002D204D" w:rsidRDefault="006A0CE3" w:rsidP="0091738A">
            <w:pPr>
              <w:rPr>
                <w:b/>
                <w:color w:val="000000"/>
              </w:rPr>
            </w:pPr>
            <w:r w:rsidRPr="002D204D">
              <w:rPr>
                <w:b/>
                <w:color w:val="000000"/>
              </w:rPr>
              <w:t xml:space="preserve">Основные </w:t>
            </w:r>
          </w:p>
        </w:tc>
        <w:tc>
          <w:tcPr>
            <w:tcW w:w="2692" w:type="dxa"/>
          </w:tcPr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>Метастазы в лимфоузлах: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 xml:space="preserve">Число 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 xml:space="preserve">Размер 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>Рост за пределы капсулы узла</w:t>
            </w:r>
          </w:p>
        </w:tc>
        <w:tc>
          <w:tcPr>
            <w:tcW w:w="2407" w:type="dxa"/>
          </w:tcPr>
          <w:p w:rsidR="006A0CE3" w:rsidRPr="002D204D" w:rsidRDefault="006A0CE3" w:rsidP="0091738A">
            <w:pPr>
              <w:rPr>
                <w:color w:val="000000"/>
              </w:rPr>
            </w:pPr>
          </w:p>
        </w:tc>
        <w:tc>
          <w:tcPr>
            <w:tcW w:w="2407" w:type="dxa"/>
          </w:tcPr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>Центры, имеющие опыт лечения рака вульвы и концентрирующие у себя пациенток с этой патологией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</w:p>
        </w:tc>
      </w:tr>
      <w:tr w:rsidR="006A0CE3" w:rsidRPr="002D204D" w:rsidTr="0091738A">
        <w:tc>
          <w:tcPr>
            <w:tcW w:w="2122" w:type="dxa"/>
          </w:tcPr>
          <w:p w:rsidR="006A0CE3" w:rsidRPr="002D204D" w:rsidRDefault="006A0CE3" w:rsidP="0091738A">
            <w:pPr>
              <w:rPr>
                <w:b/>
                <w:color w:val="000000"/>
              </w:rPr>
            </w:pPr>
            <w:r w:rsidRPr="002D204D">
              <w:rPr>
                <w:b/>
                <w:color w:val="000000"/>
              </w:rPr>
              <w:t>Дополнительные</w:t>
            </w:r>
          </w:p>
        </w:tc>
        <w:tc>
          <w:tcPr>
            <w:tcW w:w="2692" w:type="dxa"/>
          </w:tcPr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 xml:space="preserve">Стадия по </w:t>
            </w:r>
            <w:r w:rsidRPr="002D204D">
              <w:rPr>
                <w:color w:val="000000"/>
                <w:lang w:val="en-US"/>
              </w:rPr>
              <w:t>FIGO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>Глубина инвазии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>Диаметр первичной опухоли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>Гистологический тип опухоли</w:t>
            </w:r>
          </w:p>
        </w:tc>
        <w:tc>
          <w:tcPr>
            <w:tcW w:w="2407" w:type="dxa"/>
          </w:tcPr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>Возраст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 xml:space="preserve">Курение 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 xml:space="preserve">Сопутствующий дерматоз (склерозирующий лишай, </w:t>
            </w:r>
            <w:r w:rsidRPr="002D204D">
              <w:rPr>
                <w:color w:val="000000"/>
                <w:lang w:val="en-US"/>
              </w:rPr>
              <w:t>VIN</w:t>
            </w:r>
            <w:r w:rsidRPr="002D204D">
              <w:rPr>
                <w:color w:val="000000"/>
              </w:rPr>
              <w:t>)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>Иммунный статус</w:t>
            </w:r>
          </w:p>
        </w:tc>
        <w:tc>
          <w:tcPr>
            <w:tcW w:w="2407" w:type="dxa"/>
          </w:tcPr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 xml:space="preserve">Края отсечения </w:t>
            </w:r>
          </w:p>
        </w:tc>
      </w:tr>
      <w:tr w:rsidR="006A0CE3" w:rsidRPr="002D204D" w:rsidTr="0091738A">
        <w:tc>
          <w:tcPr>
            <w:tcW w:w="2122" w:type="dxa"/>
          </w:tcPr>
          <w:p w:rsidR="006A0CE3" w:rsidRPr="002D204D" w:rsidRDefault="006A0CE3" w:rsidP="0091738A">
            <w:pPr>
              <w:rPr>
                <w:b/>
                <w:color w:val="000000"/>
              </w:rPr>
            </w:pPr>
            <w:r w:rsidRPr="002D204D">
              <w:rPr>
                <w:b/>
                <w:color w:val="000000"/>
              </w:rPr>
              <w:t>Новые и изучаемые</w:t>
            </w:r>
          </w:p>
        </w:tc>
        <w:tc>
          <w:tcPr>
            <w:tcW w:w="2692" w:type="dxa"/>
          </w:tcPr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 xml:space="preserve">Статус </w:t>
            </w:r>
            <w:r w:rsidRPr="002D204D">
              <w:rPr>
                <w:color w:val="000000"/>
                <w:lang w:val="en-US"/>
              </w:rPr>
              <w:t>EGFR</w:t>
            </w:r>
            <w:r w:rsidRPr="002D204D">
              <w:rPr>
                <w:color w:val="000000"/>
                <w:vertAlign w:val="superscript"/>
              </w:rPr>
              <w:t>2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 xml:space="preserve">Гиперэкспрессия р53 Уровень </w:t>
            </w:r>
            <w:r w:rsidRPr="002D204D">
              <w:rPr>
                <w:color w:val="000000"/>
                <w:lang w:val="en-US"/>
              </w:rPr>
              <w:t>P</w:t>
            </w:r>
            <w:r w:rsidRPr="002D204D">
              <w:rPr>
                <w:color w:val="000000"/>
              </w:rPr>
              <w:t>16</w:t>
            </w:r>
            <w:r w:rsidRPr="002D204D">
              <w:rPr>
                <w:color w:val="000000"/>
                <w:lang w:val="en-US"/>
              </w:rPr>
              <w:t>INK</w:t>
            </w:r>
            <w:r w:rsidRPr="002D204D">
              <w:rPr>
                <w:color w:val="000000"/>
              </w:rPr>
              <w:t>4</w:t>
            </w:r>
            <w:r w:rsidRPr="002D204D">
              <w:rPr>
                <w:color w:val="000000"/>
                <w:lang w:val="en-US"/>
              </w:rPr>
              <w:t>a</w:t>
            </w:r>
            <w:r w:rsidRPr="002D204D">
              <w:rPr>
                <w:color w:val="000000"/>
                <w:vertAlign w:val="superscript"/>
              </w:rPr>
              <w:t>3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>Микрососудистая плотность</w:t>
            </w:r>
          </w:p>
        </w:tc>
        <w:tc>
          <w:tcPr>
            <w:tcW w:w="2407" w:type="dxa"/>
          </w:tcPr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>ВПЧ статус</w:t>
            </w:r>
          </w:p>
          <w:p w:rsidR="006A0CE3" w:rsidRPr="002D204D" w:rsidRDefault="006A0CE3" w:rsidP="0091738A">
            <w:pPr>
              <w:rPr>
                <w:color w:val="000000"/>
              </w:rPr>
            </w:pPr>
            <w:r w:rsidRPr="002D204D">
              <w:rPr>
                <w:color w:val="000000"/>
              </w:rPr>
              <w:t>Уровень гемоглобина до лечения</w:t>
            </w:r>
          </w:p>
        </w:tc>
        <w:tc>
          <w:tcPr>
            <w:tcW w:w="2407" w:type="dxa"/>
          </w:tcPr>
          <w:p w:rsidR="006A0CE3" w:rsidRPr="002D204D" w:rsidRDefault="006A0CE3" w:rsidP="0091738A">
            <w:pPr>
              <w:rPr>
                <w:color w:val="000000"/>
              </w:rPr>
            </w:pPr>
          </w:p>
        </w:tc>
      </w:tr>
    </w:tbl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 w:val="18"/>
          <w:szCs w:val="18"/>
          <w:lang w:val="en-US"/>
        </w:rPr>
      </w:pPr>
      <w:r w:rsidRPr="002D204D">
        <w:rPr>
          <w:color w:val="000000"/>
          <w:sz w:val="18"/>
          <w:szCs w:val="18"/>
        </w:rPr>
        <w:t>Примечание</w:t>
      </w:r>
    </w:p>
    <w:p w:rsidR="006A0CE3" w:rsidRPr="00D31FE1" w:rsidRDefault="006A0CE3" w:rsidP="006A0CE3">
      <w:pPr>
        <w:ind w:firstLine="720"/>
        <w:jc w:val="both"/>
        <w:rPr>
          <w:color w:val="000000"/>
          <w:sz w:val="18"/>
          <w:szCs w:val="18"/>
        </w:rPr>
      </w:pPr>
      <w:r w:rsidRPr="002D204D">
        <w:rPr>
          <w:color w:val="000000"/>
          <w:sz w:val="18"/>
          <w:szCs w:val="18"/>
          <w:vertAlign w:val="superscript"/>
          <w:lang w:val="en-US"/>
        </w:rPr>
        <w:t>1</w:t>
      </w:r>
      <w:r w:rsidRPr="002D204D">
        <w:rPr>
          <w:color w:val="000000"/>
          <w:sz w:val="18"/>
          <w:szCs w:val="18"/>
          <w:lang w:val="en-US"/>
        </w:rPr>
        <w:t xml:space="preserve"> UICC Manual of Clinical Oncology, Ninth Edition. Edited by Brian O’Sullivan, James D. Brierley, Anil K. D’Cruz, Martin F. Fey, Raphael Pollock, Jan B. Vermorken and Shao Hui Huang. </w:t>
      </w:r>
      <w:r w:rsidRPr="00D31FE1">
        <w:rPr>
          <w:color w:val="000000"/>
          <w:sz w:val="18"/>
          <w:szCs w:val="18"/>
        </w:rPr>
        <w:t xml:space="preserve">2015 </w:t>
      </w:r>
      <w:r w:rsidRPr="002D204D">
        <w:rPr>
          <w:color w:val="000000"/>
          <w:sz w:val="18"/>
          <w:szCs w:val="18"/>
          <w:lang w:val="en-US"/>
        </w:rPr>
        <w:t>UICC</w:t>
      </w:r>
      <w:r w:rsidRPr="00D31FE1">
        <w:rPr>
          <w:color w:val="000000"/>
          <w:sz w:val="18"/>
          <w:szCs w:val="18"/>
        </w:rPr>
        <w:t xml:space="preserve">. </w:t>
      </w:r>
      <w:r w:rsidRPr="002D204D">
        <w:rPr>
          <w:color w:val="000000"/>
          <w:sz w:val="18"/>
          <w:szCs w:val="18"/>
          <w:lang w:val="en-US"/>
        </w:rPr>
        <w:t>Published</w:t>
      </w:r>
      <w:r w:rsidRPr="00D31FE1">
        <w:rPr>
          <w:color w:val="000000"/>
          <w:sz w:val="18"/>
          <w:szCs w:val="18"/>
        </w:rPr>
        <w:t xml:space="preserve"> 2015 </w:t>
      </w:r>
      <w:r w:rsidRPr="002D204D">
        <w:rPr>
          <w:color w:val="000000"/>
          <w:sz w:val="18"/>
          <w:szCs w:val="18"/>
          <w:lang w:val="en-US"/>
        </w:rPr>
        <w:t>by</w:t>
      </w:r>
      <w:r w:rsidRPr="00D31FE1">
        <w:rPr>
          <w:color w:val="000000"/>
          <w:sz w:val="18"/>
          <w:szCs w:val="18"/>
        </w:rPr>
        <w:t xml:space="preserve"> </w:t>
      </w:r>
      <w:r w:rsidRPr="002D204D">
        <w:rPr>
          <w:color w:val="000000"/>
          <w:sz w:val="18"/>
          <w:szCs w:val="18"/>
          <w:lang w:val="en-US"/>
        </w:rPr>
        <w:t>John</w:t>
      </w:r>
      <w:r w:rsidRPr="00D31FE1">
        <w:rPr>
          <w:color w:val="000000"/>
          <w:sz w:val="18"/>
          <w:szCs w:val="18"/>
        </w:rPr>
        <w:t xml:space="preserve"> </w:t>
      </w:r>
      <w:r w:rsidRPr="002D204D">
        <w:rPr>
          <w:color w:val="000000"/>
          <w:sz w:val="18"/>
          <w:szCs w:val="18"/>
          <w:lang w:val="en-US"/>
        </w:rPr>
        <w:t>Wiley</w:t>
      </w:r>
      <w:r w:rsidRPr="00D31FE1">
        <w:rPr>
          <w:color w:val="000000"/>
          <w:sz w:val="18"/>
          <w:szCs w:val="18"/>
        </w:rPr>
        <w:t xml:space="preserve"> &amp; </w:t>
      </w:r>
      <w:r w:rsidRPr="002D204D">
        <w:rPr>
          <w:color w:val="000000"/>
          <w:sz w:val="18"/>
          <w:szCs w:val="18"/>
          <w:lang w:val="en-US"/>
        </w:rPr>
        <w:t>Sons</w:t>
      </w:r>
      <w:r w:rsidRPr="00D31FE1">
        <w:rPr>
          <w:color w:val="000000"/>
          <w:sz w:val="18"/>
          <w:szCs w:val="18"/>
        </w:rPr>
        <w:t xml:space="preserve">, </w:t>
      </w:r>
      <w:r w:rsidRPr="002D204D">
        <w:rPr>
          <w:color w:val="000000"/>
          <w:sz w:val="18"/>
          <w:szCs w:val="18"/>
          <w:lang w:val="en-US"/>
        </w:rPr>
        <w:t>Ltd</w:t>
      </w:r>
      <w:r w:rsidRPr="00D31FE1">
        <w:rPr>
          <w:color w:val="000000"/>
          <w:sz w:val="18"/>
          <w:szCs w:val="18"/>
        </w:rPr>
        <w:t>.</w:t>
      </w:r>
    </w:p>
    <w:p w:rsidR="006A0CE3" w:rsidRPr="00D31FE1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 w:val="18"/>
          <w:szCs w:val="18"/>
        </w:rPr>
      </w:pPr>
      <w:r w:rsidRPr="00D31FE1">
        <w:rPr>
          <w:color w:val="000000"/>
          <w:sz w:val="18"/>
          <w:szCs w:val="18"/>
          <w:vertAlign w:val="superscript"/>
        </w:rPr>
        <w:t xml:space="preserve">2 </w:t>
      </w:r>
      <w:r w:rsidRPr="002D204D">
        <w:rPr>
          <w:color w:val="000000"/>
          <w:sz w:val="18"/>
          <w:szCs w:val="18"/>
        </w:rPr>
        <w:t>рецепторэпидермальногофакторароста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 w:val="18"/>
          <w:szCs w:val="18"/>
        </w:rPr>
      </w:pPr>
      <w:r w:rsidRPr="002D204D">
        <w:rPr>
          <w:color w:val="000000"/>
          <w:sz w:val="18"/>
          <w:szCs w:val="18"/>
          <w:vertAlign w:val="superscript"/>
        </w:rPr>
        <w:t>3</w:t>
      </w:r>
      <w:r w:rsidRPr="002D204D">
        <w:rPr>
          <w:color w:val="000000"/>
          <w:sz w:val="18"/>
          <w:szCs w:val="18"/>
        </w:rPr>
        <w:t xml:space="preserve"> белок P16INK4a является маркером неконтролируемой пролиферации при инфицировании клеток эпителия ВПЧ и выявления риска развития рака (определяется иммуногистохимически или иммуноцитохимически). </w:t>
      </w:r>
    </w:p>
    <w:p w:rsidR="006A0CE3" w:rsidRPr="002D204D" w:rsidRDefault="006A0CE3" w:rsidP="006A0CE3">
      <w:pPr>
        <w:tabs>
          <w:tab w:val="center" w:pos="4677"/>
          <w:tab w:val="right" w:pos="9355"/>
        </w:tabs>
        <w:jc w:val="both"/>
        <w:rPr>
          <w:b/>
          <w:color w:val="000000"/>
          <w:szCs w:val="24"/>
        </w:rPr>
      </w:pP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  <w:szCs w:val="24"/>
        </w:rPr>
      </w:pPr>
      <w:r w:rsidRPr="002D204D">
        <w:rPr>
          <w:b/>
          <w:color w:val="000000"/>
          <w:szCs w:val="24"/>
        </w:rPr>
        <w:t>23.8. Диагностические мероприятия.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Диагноз рака вульвы, как правило, не вызывает сомнения. 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23.8.1. Основные диагностические мероприятия: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left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гинекологический осмотр;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вульвоскопия, вагиноскопия и кольпоскопия (синхронный плоскоклеточный рак этих органов при наличии рака вульвы составляет 13%);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ВПЧ тестирование (у пациенток моложе 50 лет);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цитологическое исследование мазков-отпечатков из опухоли; 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инцизионная клиновидная биопсия опухоли на всю глубину с захватом участка здоровой ткани c гистологическим исследованием биоптата опухоли; 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lastRenderedPageBreak/>
        <w:t>УЗИ паховых, бедренных и подвздошных лимфатических узлов;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УЗИ органов брюшной полости и малого таза;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тонкоигольная аспирационная биопсия паховых и бедренных лимфоузлов под контролем УЗИ (при подозрении на их метастатическое поражение);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КТ и/или МРТ промежности и таза при наличии метастазов в бедренно-паховых лимфоузлах (для уточнения распространенности опухолевого процесса, состояния глубоких паховых и тазовых лимфоузлов);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при возможности – исследование сигнальных лимфоузлов при раке вульвы </w:t>
      </w:r>
      <w:r w:rsidRPr="002D204D">
        <w:rPr>
          <w:color w:val="000000"/>
          <w:szCs w:val="24"/>
          <w:lang w:val="en-US"/>
        </w:rPr>
        <w:t>I</w:t>
      </w:r>
      <w:r w:rsidRPr="002D204D">
        <w:rPr>
          <w:color w:val="000000"/>
          <w:szCs w:val="24"/>
        </w:rPr>
        <w:t>-</w:t>
      </w:r>
      <w:r w:rsidRPr="002D204D">
        <w:rPr>
          <w:color w:val="000000"/>
          <w:szCs w:val="24"/>
          <w:lang w:val="en-US"/>
        </w:rPr>
        <w:t>II</w:t>
      </w:r>
      <w:r w:rsidRPr="002D204D">
        <w:rPr>
          <w:color w:val="000000"/>
          <w:szCs w:val="24"/>
        </w:rPr>
        <w:t xml:space="preserve"> стадии;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рентгенологическое исследование органов грудной клетки;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доплеровское исследование вен нижних конечностей и подвздошных вен;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консультация терапевта;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left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ЭКГ.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23.8.2. По показаниям выполняются следующие мероприятия: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цистоскопия (при подозрении на прорастание стенки мочевого пузыря опухолью по данным УЗИ);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ректосигмоскопия (при местно-распространенном раке вульвы или при наличии жалоб);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рентгеновское исследование костей таза (при жалобах на боли в костях таза либо локализации опухоли вблизи костей таза);</w:t>
      </w:r>
    </w:p>
    <w:p w:rsidR="006A0CE3" w:rsidRPr="002D204D" w:rsidRDefault="006A0CE3" w:rsidP="006A0CE3">
      <w:pPr>
        <w:tabs>
          <w:tab w:val="center" w:pos="4677"/>
          <w:tab w:val="right" w:pos="9355"/>
        </w:tabs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при наличии конкурирующей или сопутствующей патологии, консультация соответствующих специалистов.</w:t>
      </w:r>
    </w:p>
    <w:p w:rsidR="006A0CE3" w:rsidRPr="002D204D" w:rsidRDefault="006A0CE3" w:rsidP="006A0CE3">
      <w:pPr>
        <w:ind w:firstLine="720"/>
        <w:rPr>
          <w:color w:val="000000"/>
          <w:szCs w:val="24"/>
        </w:rPr>
      </w:pPr>
      <w:r w:rsidRPr="002D204D">
        <w:rPr>
          <w:color w:val="000000"/>
          <w:szCs w:val="24"/>
        </w:rPr>
        <w:t>23.8.3. Лабораторные исследования:</w:t>
      </w:r>
    </w:p>
    <w:p w:rsidR="006A0CE3" w:rsidRPr="002D204D" w:rsidRDefault="006A0CE3" w:rsidP="006A0CE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2D204D">
        <w:rPr>
          <w:color w:val="000000"/>
          <w:szCs w:val="24"/>
        </w:rPr>
        <w:t>группа крови и резус-фактор;</w:t>
      </w:r>
    </w:p>
    <w:p w:rsidR="006A0CE3" w:rsidRPr="002D204D" w:rsidRDefault="006A0CE3" w:rsidP="006A0CE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2D204D">
        <w:rPr>
          <w:color w:val="000000"/>
          <w:szCs w:val="24"/>
        </w:rPr>
        <w:t>серореакция на сифилис;</w:t>
      </w:r>
    </w:p>
    <w:p w:rsidR="006A0CE3" w:rsidRPr="002D204D" w:rsidRDefault="006A0CE3" w:rsidP="006A0CE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2D204D">
        <w:rPr>
          <w:color w:val="000000"/>
          <w:szCs w:val="24"/>
          <w:lang w:val="en-US"/>
        </w:rPr>
        <w:t>HbSAg</w:t>
      </w:r>
      <w:r w:rsidRPr="002D204D">
        <w:rPr>
          <w:color w:val="000000"/>
          <w:szCs w:val="24"/>
        </w:rPr>
        <w:t>,</w:t>
      </w:r>
    </w:p>
    <w:p w:rsidR="006A0CE3" w:rsidRPr="002D204D" w:rsidRDefault="006A0CE3" w:rsidP="006A0CE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2D204D">
        <w:rPr>
          <w:color w:val="000000"/>
          <w:szCs w:val="24"/>
        </w:rPr>
        <w:t>общий анализ крови;</w:t>
      </w:r>
    </w:p>
    <w:p w:rsidR="006A0CE3" w:rsidRPr="002D204D" w:rsidRDefault="006A0CE3" w:rsidP="006A0CE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2D204D">
        <w:rPr>
          <w:color w:val="000000"/>
          <w:szCs w:val="24"/>
        </w:rPr>
        <w:lastRenderedPageBreak/>
        <w:t>общий анализ мочи;</w:t>
      </w:r>
    </w:p>
    <w:p w:rsidR="006A0CE3" w:rsidRPr="002D204D" w:rsidRDefault="006A0CE3" w:rsidP="006A0CE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биохимическое исследование крови (общий белок, мочевина, билирубин, глюкоза) </w:t>
      </w:r>
    </w:p>
    <w:p w:rsidR="006A0CE3" w:rsidRPr="002D204D" w:rsidRDefault="006A0CE3" w:rsidP="006A0CE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2D204D">
        <w:rPr>
          <w:color w:val="000000"/>
          <w:szCs w:val="24"/>
        </w:rPr>
        <w:t>коагулограмма (АЧТВ, ПВ, ТВ, фибриноген) – на этапе предоперационной подготовки.</w:t>
      </w:r>
    </w:p>
    <w:p w:rsidR="006A0CE3" w:rsidRPr="002D204D" w:rsidRDefault="006A0CE3" w:rsidP="006A0CE3">
      <w:pPr>
        <w:ind w:firstLine="720"/>
        <w:rPr>
          <w:b/>
          <w:color w:val="000000"/>
          <w:szCs w:val="24"/>
        </w:rPr>
      </w:pPr>
      <w:r w:rsidRPr="002D204D">
        <w:rPr>
          <w:b/>
          <w:color w:val="000000"/>
          <w:szCs w:val="24"/>
        </w:rPr>
        <w:t>23.9. Общие принципы лечения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Ведущие методы лечения рака вульвы – хирургический и комбинированный.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23.9.1. Виды операций при раке вульвы и хирургическая терминология.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Широкое иссечение опухоли вульвы;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радикальная вульвэктомия;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радикальная вульвэктомия с двусторонней бедренно-паховой лимфаденэктомией (ЛАЭ);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радикальная модифицированная вульвэктомия с двусторонней бедренно-паховой лимфаденэктомией.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Широкое иссечение опухоли подразумевает отступ от границ опухоли не менее 2 см, в блок удаляемых тканей включают кожу, подкожную клетчатку и нижнюю фасцию урогенитальной диафрагмы.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Радикальная вульвэктомия подразумевает иссечение кожи всей вульвы (большие и малые половые губы, клитор, задняя спайка, вестибулярные луковицы, вестибулярные железы (в т.ч. бартолиновые) и преддверие влагалища), подкожной клетчатки и нижней фасции урогенитальной диафрагмы.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При радикальной вульвэктомии с двусторонней бедренно-паховой ЛАЭ выполняют удаление тканей вульвы и клетчатки с регионарными лимфоузлами в едином блоке через один разрез.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При радикальной модифицированной вульвэктомии ткани вульвы и регионарные лимфоузлы удаляют через раздельные разрезы (в настоящее время – стандарт хирургического лечения рака вульвы).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При поражении влагалища, уретры или кожи ануса выполняют их резекцию. Предпочтительно в пределах 1 см видимых здоровых тканей. </w:t>
      </w:r>
      <w:r w:rsidRPr="002D204D">
        <w:rPr>
          <w:color w:val="000000"/>
          <w:szCs w:val="24"/>
        </w:rPr>
        <w:lastRenderedPageBreak/>
        <w:t>Иногда переход опухоли на уретру или кожу ануса требует принятия компромиссных решений.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При наличии больших дефектов после радикальных операций для выполнения первичной вульвопластики используют методы реконструктивной и пластической хирургии. Для укрытия операционных дефектов применяют </w:t>
      </w:r>
      <w:r w:rsidRPr="002D204D">
        <w:rPr>
          <w:color w:val="000000"/>
          <w:szCs w:val="24"/>
          <w:lang w:val="en-US"/>
        </w:rPr>
        <w:t>VY</w:t>
      </w:r>
      <w:r w:rsidRPr="002D204D">
        <w:rPr>
          <w:color w:val="000000"/>
          <w:szCs w:val="24"/>
        </w:rPr>
        <w:t>-пластику, ромбовидную пластику, метод встречных треугольников Тихова-Лимберга. Также используют для закрытия рецепиентной зоны кожно-мышечные лоскуты.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23.9.2. Лучевую терапию используют после операции, перед операцией и как самостоятельный метод лечения.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23.9.2.1. Показания к послеоперационной лучевой терапии: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23.9.2.1.1. на первичный очаг: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расстояние от края отсечения до границ опухоли менее 2 см;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нерадикальная операция (</w:t>
      </w:r>
      <w:r w:rsidRPr="002D204D">
        <w:rPr>
          <w:color w:val="000000"/>
          <w:szCs w:val="24"/>
          <w:lang w:val="en-US"/>
        </w:rPr>
        <w:t>R</w:t>
      </w:r>
      <w:r w:rsidRPr="002D204D">
        <w:rPr>
          <w:color w:val="000000"/>
          <w:szCs w:val="24"/>
          <w:vertAlign w:val="subscript"/>
        </w:rPr>
        <w:t>1,2</w:t>
      </w:r>
      <w:r w:rsidRPr="002D204D">
        <w:rPr>
          <w:color w:val="000000"/>
          <w:szCs w:val="24"/>
        </w:rPr>
        <w:t>);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мультифокальное поражение.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23.9.2.1.2.  на зоны регионарных и тазовых лимфоузлов: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при метастазах в удаленных регионарных лимфоузлах облучению подлежит бедренно-паховая зона на стороне поражения или обе бедренно-паховые зоны, если поражение носит двусторонний характер. Вышележащая подвздошная зона подлежит адъювантной лучевой терапии в том случае, если по клиническим и инструментальным данным не установлено метастатическое поражение подвздошных лимфоузлов, и они не были удалены во время операции. Также адъювантную лучевую терапию на подвздошную область назначают, если при удалении подвздошных лимфоузлов установлено их метастатическое поражение. Если подвздошные лимфоузлы были удалены и в них отсутствуют метастазы, лучевая терапия не показана.   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Облучение зоны ложа первичной опухоли, равно как и бедренно-паховой (бедренно-пахово-подвздошной области), осуществляется 5 раз в неделю РОД 1,8-2 Гр до суммарной дозы 45-50 Гр (при отсутствии предоперационной лучевой терапии).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23.9.2.2. В случае сомнительной резектабельности при распространении рака на область ануса или нижние отделы прямой кишки, </w:t>
      </w:r>
      <w:r w:rsidRPr="002D204D">
        <w:rPr>
          <w:color w:val="000000"/>
          <w:szCs w:val="24"/>
        </w:rPr>
        <w:lastRenderedPageBreak/>
        <w:t xml:space="preserve">или на кости таза, и/или наличии нерезектабельных метастатических образований в пахово-бедренных лимфатических узлах (рак вульвы </w:t>
      </w:r>
      <w:r w:rsidRPr="002D204D">
        <w:rPr>
          <w:color w:val="000000"/>
          <w:szCs w:val="24"/>
          <w:lang w:val="en-US"/>
        </w:rPr>
        <w:t>III</w:t>
      </w:r>
      <w:r w:rsidRPr="002D204D">
        <w:rPr>
          <w:color w:val="000000"/>
          <w:szCs w:val="24"/>
        </w:rPr>
        <w:t>-</w:t>
      </w:r>
      <w:r w:rsidRPr="002D204D">
        <w:rPr>
          <w:color w:val="000000"/>
          <w:szCs w:val="24"/>
          <w:lang w:val="en-US"/>
        </w:rPr>
        <w:t>IV</w:t>
      </w:r>
      <w:r w:rsidRPr="002D204D">
        <w:rPr>
          <w:color w:val="000000"/>
          <w:szCs w:val="24"/>
        </w:rPr>
        <w:t xml:space="preserve"> стадий), может проводиться предоперационная лучевая терапия РОД 1,8-2Гр, СОД 45-50 Гр с целью уменьшения размеров опухоли и создания условий для последующей операции. В случаях распространения опухоли на влагалище или уретру дистанционное облучение дополняется внутриполостной лучевой терапией (эндовагинально и/или эндоуретрально до 70-80 Гр). Операция выполняют через 3-4 недели.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23.9.2.3. Как самостоятельный метод лечения лучевая терапия предпринимается у неоперабельных пациенток по общесоматическому состоянию (</w:t>
      </w:r>
      <w:r w:rsidRPr="002D204D">
        <w:rPr>
          <w:color w:val="000000"/>
          <w:szCs w:val="24"/>
          <w:lang w:val="en-US"/>
        </w:rPr>
        <w:t>V</w:t>
      </w:r>
      <w:r w:rsidRPr="002D204D">
        <w:rPr>
          <w:color w:val="000000"/>
          <w:szCs w:val="24"/>
        </w:rPr>
        <w:t>-</w:t>
      </w:r>
      <w:r w:rsidRPr="002D204D">
        <w:rPr>
          <w:color w:val="000000"/>
          <w:szCs w:val="24"/>
          <w:lang w:val="en-US"/>
        </w:rPr>
        <w:t>VI</w:t>
      </w:r>
      <w:r w:rsidRPr="002D204D">
        <w:rPr>
          <w:color w:val="000000"/>
          <w:szCs w:val="24"/>
        </w:rPr>
        <w:t xml:space="preserve"> классы риска летальных осложнений на А</w:t>
      </w:r>
      <w:r w:rsidRPr="002D204D">
        <w:rPr>
          <w:color w:val="000000"/>
          <w:szCs w:val="24"/>
          <w:lang w:val="en-US"/>
        </w:rPr>
        <w:t>S</w:t>
      </w:r>
      <w:r w:rsidRPr="002D204D">
        <w:rPr>
          <w:color w:val="000000"/>
          <w:szCs w:val="24"/>
        </w:rPr>
        <w:t xml:space="preserve">А).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В случае наличия абсолютных противопоказаний к хирургическому лечению при небольшой поверхностной опухоли в области больших или малых половых губ (при инвазии подлежащих тканей до </w:t>
      </w:r>
      <w:smartTag w:uri="urn:schemas-microsoft-com:office:smarttags" w:element="metricconverter">
        <w:smartTagPr>
          <w:attr w:name="ProductID" w:val="5 мм"/>
        </w:smartTagPr>
        <w:r w:rsidRPr="002D204D">
          <w:rPr>
            <w:color w:val="000000"/>
            <w:szCs w:val="24"/>
          </w:rPr>
          <w:t>5 мм</w:t>
        </w:r>
      </w:smartTag>
      <w:r w:rsidRPr="002D204D">
        <w:rPr>
          <w:color w:val="000000"/>
          <w:szCs w:val="24"/>
        </w:rPr>
        <w:t>) показано проведение внутритканевой брахитерапии в суммарной дозе 60 Гр.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В остальных случаях облучение первичного очага начинается</w:t>
      </w:r>
      <w:r w:rsidRPr="002D204D">
        <w:rPr>
          <w:color w:val="000000"/>
          <w:szCs w:val="24"/>
        </w:rPr>
        <w:br/>
        <w:t>с дистанционной лучевой терапии по 2 Гр за фракцию, ежедневно, до 45-50 Гр.</w:t>
      </w:r>
      <w:r w:rsidRPr="002D204D">
        <w:rPr>
          <w:color w:val="000000"/>
          <w:szCs w:val="24"/>
        </w:rPr>
        <w:br/>
        <w:t xml:space="preserve">С учетом клинической ситуации присоединяется </w:t>
      </w:r>
      <w:r w:rsidRPr="002D204D">
        <w:rPr>
          <w:color w:val="000000"/>
          <w:szCs w:val="24"/>
          <w:lang w:val="en-US"/>
        </w:rPr>
        <w:t>boost</w:t>
      </w:r>
      <w:r w:rsidRPr="002D204D">
        <w:rPr>
          <w:color w:val="000000"/>
          <w:szCs w:val="24"/>
        </w:rPr>
        <w:t xml:space="preserve"> (внутритканевая, внутриполостная (эндовагинальная или эндоуретральная) лучевая терапия до суммарной дозы эквивалентной 70-80 Гр).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Область регионарных бедренно-паховых лимфоузлов облучается одновременно с первичным очагом. При отсутствии метастазов СОД доводится до 45-50 Гр. При наличии метастатически пораженных лимфоузлов после подведения дозы 45-50 Гр возможно использование </w:t>
      </w:r>
      <w:r w:rsidRPr="002D204D">
        <w:rPr>
          <w:color w:val="000000"/>
          <w:szCs w:val="24"/>
          <w:lang w:val="en-US"/>
        </w:rPr>
        <w:t>boost</w:t>
      </w:r>
      <w:r w:rsidRPr="002D204D">
        <w:rPr>
          <w:color w:val="000000"/>
          <w:szCs w:val="24"/>
        </w:rPr>
        <w:t xml:space="preserve"> и локальное облучение метастатического узла до СОД порядка 60 Гр.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23.9.3. Химиотерапию применяют при запущенном или рецидивном раке вульвы.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23.9.3.1. паклитаксел/карбоплатин. Паклитаксел 175 мг/м</w:t>
      </w:r>
      <w:r w:rsidRPr="002D204D">
        <w:rPr>
          <w:color w:val="000000"/>
          <w:szCs w:val="24"/>
          <w:vertAlign w:val="superscript"/>
        </w:rPr>
        <w:t>2</w:t>
      </w:r>
      <w:r w:rsidRPr="002D204D">
        <w:rPr>
          <w:color w:val="000000"/>
          <w:szCs w:val="24"/>
        </w:rPr>
        <w:t xml:space="preserve"> (вводится до введения карбоплатина). Карбоплатин </w:t>
      </w:r>
      <w:r w:rsidRPr="002D204D">
        <w:rPr>
          <w:color w:val="000000"/>
          <w:szCs w:val="24"/>
          <w:lang w:val="en-US"/>
        </w:rPr>
        <w:t>AUC</w:t>
      </w:r>
      <w:r w:rsidRPr="002D204D">
        <w:rPr>
          <w:color w:val="000000"/>
          <w:szCs w:val="24"/>
        </w:rPr>
        <w:t xml:space="preserve"> 5-7 в 1-й день (интервал между курсами 21 день, всего 6 курсов).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23.9.3.2. цисплатин/флуорурацил. Цисплатин 75 мг/м</w:t>
      </w:r>
      <w:r w:rsidRPr="002D204D">
        <w:rPr>
          <w:color w:val="000000"/>
          <w:szCs w:val="24"/>
          <w:vertAlign w:val="superscript"/>
        </w:rPr>
        <w:t>2</w:t>
      </w:r>
      <w:r w:rsidRPr="002D204D">
        <w:rPr>
          <w:color w:val="000000"/>
          <w:szCs w:val="24"/>
        </w:rPr>
        <w:t xml:space="preserve"> в 1-й день. Флуороурацил 4 г/м</w:t>
      </w:r>
      <w:r w:rsidRPr="002D204D">
        <w:rPr>
          <w:color w:val="000000"/>
          <w:szCs w:val="24"/>
          <w:vertAlign w:val="superscript"/>
        </w:rPr>
        <w:t>2</w:t>
      </w:r>
      <w:r w:rsidRPr="002D204D">
        <w:rPr>
          <w:color w:val="000000"/>
          <w:szCs w:val="24"/>
        </w:rPr>
        <w:t xml:space="preserve"> внутривенно в виде непрерывной инфузии в течение 96 часов. Курсы повторяют каждые 28 дней.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lastRenderedPageBreak/>
        <w:t xml:space="preserve">23.9.3.3. </w:t>
      </w:r>
      <w:r w:rsidRPr="002D204D">
        <w:rPr>
          <w:rFonts w:hint="eastAsia"/>
          <w:color w:val="000000"/>
          <w:szCs w:val="24"/>
        </w:rPr>
        <w:t>цисплатин</w:t>
      </w:r>
      <w:r w:rsidRPr="002D204D">
        <w:rPr>
          <w:color w:val="000000"/>
          <w:szCs w:val="24"/>
        </w:rPr>
        <w:t>/</w:t>
      </w:r>
      <w:r w:rsidRPr="002D204D">
        <w:rPr>
          <w:rFonts w:hint="eastAsia"/>
          <w:color w:val="000000"/>
          <w:szCs w:val="24"/>
        </w:rPr>
        <w:t>винорельбин</w:t>
      </w:r>
      <w:r w:rsidRPr="002D204D">
        <w:rPr>
          <w:color w:val="000000"/>
          <w:szCs w:val="24"/>
        </w:rPr>
        <w:t>. Ц</w:t>
      </w:r>
      <w:r w:rsidRPr="002D204D">
        <w:rPr>
          <w:rFonts w:hint="eastAsia"/>
          <w:color w:val="000000"/>
          <w:szCs w:val="24"/>
        </w:rPr>
        <w:t>исплатин</w:t>
      </w:r>
      <w:r w:rsidRPr="002D204D">
        <w:rPr>
          <w:color w:val="000000"/>
          <w:szCs w:val="24"/>
        </w:rPr>
        <w:t xml:space="preserve"> 70</w:t>
      </w:r>
      <w:r w:rsidRPr="002D204D">
        <w:rPr>
          <w:rFonts w:hint="eastAsia"/>
          <w:color w:val="000000"/>
          <w:szCs w:val="24"/>
        </w:rPr>
        <w:t>–</w:t>
      </w:r>
      <w:r w:rsidRPr="002D204D">
        <w:rPr>
          <w:color w:val="000000"/>
          <w:szCs w:val="24"/>
        </w:rPr>
        <w:t xml:space="preserve">90 </w:t>
      </w:r>
      <w:r w:rsidRPr="002D204D">
        <w:rPr>
          <w:rFonts w:hint="eastAsia"/>
          <w:color w:val="000000"/>
          <w:szCs w:val="24"/>
        </w:rPr>
        <w:t>мг</w:t>
      </w:r>
      <w:r w:rsidRPr="002D204D">
        <w:rPr>
          <w:color w:val="000000"/>
          <w:szCs w:val="24"/>
        </w:rPr>
        <w:t>/</w:t>
      </w:r>
      <w:r w:rsidRPr="002D204D">
        <w:rPr>
          <w:rFonts w:hint="eastAsia"/>
          <w:color w:val="000000"/>
          <w:szCs w:val="24"/>
        </w:rPr>
        <w:t>м</w:t>
      </w:r>
      <w:r w:rsidRPr="002D204D">
        <w:rPr>
          <w:color w:val="000000"/>
          <w:szCs w:val="24"/>
        </w:rPr>
        <w:t xml:space="preserve">2 </w:t>
      </w:r>
      <w:r w:rsidRPr="002D204D">
        <w:rPr>
          <w:rFonts w:hint="eastAsia"/>
          <w:color w:val="000000"/>
          <w:szCs w:val="24"/>
        </w:rPr>
        <w:t>в</w:t>
      </w:r>
      <w:r w:rsidRPr="002D204D">
        <w:rPr>
          <w:color w:val="000000"/>
          <w:szCs w:val="24"/>
        </w:rPr>
        <w:t xml:space="preserve"> 1-</w:t>
      </w:r>
      <w:r w:rsidRPr="002D204D">
        <w:rPr>
          <w:rFonts w:hint="eastAsia"/>
          <w:color w:val="000000"/>
          <w:szCs w:val="24"/>
        </w:rPr>
        <w:t>йдень</w:t>
      </w:r>
      <w:r w:rsidRPr="002D204D">
        <w:rPr>
          <w:color w:val="000000"/>
          <w:szCs w:val="24"/>
        </w:rPr>
        <w:t xml:space="preserve">; </w:t>
      </w:r>
      <w:r w:rsidRPr="002D204D">
        <w:rPr>
          <w:rFonts w:hint="eastAsia"/>
          <w:color w:val="000000"/>
          <w:szCs w:val="24"/>
        </w:rPr>
        <w:t>винорельбин</w:t>
      </w:r>
      <w:r w:rsidRPr="002D204D">
        <w:rPr>
          <w:color w:val="000000"/>
          <w:szCs w:val="24"/>
        </w:rPr>
        <w:t xml:space="preserve"> 25 </w:t>
      </w:r>
      <w:r w:rsidRPr="002D204D">
        <w:rPr>
          <w:rFonts w:hint="eastAsia"/>
          <w:color w:val="000000"/>
          <w:szCs w:val="24"/>
        </w:rPr>
        <w:t>мг</w:t>
      </w:r>
      <w:r w:rsidRPr="002D204D">
        <w:rPr>
          <w:color w:val="000000"/>
          <w:szCs w:val="24"/>
        </w:rPr>
        <w:t>/</w:t>
      </w:r>
      <w:r w:rsidRPr="002D204D">
        <w:rPr>
          <w:rFonts w:hint="eastAsia"/>
          <w:color w:val="000000"/>
          <w:szCs w:val="24"/>
        </w:rPr>
        <w:t>м</w:t>
      </w:r>
      <w:r w:rsidRPr="002D204D">
        <w:rPr>
          <w:color w:val="000000"/>
          <w:szCs w:val="24"/>
        </w:rPr>
        <w:t xml:space="preserve">2 </w:t>
      </w:r>
      <w:r w:rsidRPr="002D204D">
        <w:rPr>
          <w:rFonts w:hint="eastAsia"/>
          <w:color w:val="000000"/>
          <w:szCs w:val="24"/>
        </w:rPr>
        <w:t>внутривенновтечение</w:t>
      </w:r>
      <w:r w:rsidRPr="002D204D">
        <w:rPr>
          <w:color w:val="000000"/>
          <w:szCs w:val="24"/>
        </w:rPr>
        <w:t xml:space="preserve"> 6</w:t>
      </w:r>
      <w:r w:rsidRPr="002D204D">
        <w:rPr>
          <w:rFonts w:hint="eastAsia"/>
          <w:color w:val="000000"/>
          <w:szCs w:val="24"/>
        </w:rPr>
        <w:t>–</w:t>
      </w:r>
      <w:r w:rsidRPr="002D204D">
        <w:rPr>
          <w:color w:val="000000"/>
          <w:szCs w:val="24"/>
        </w:rPr>
        <w:t xml:space="preserve">10 </w:t>
      </w:r>
      <w:r w:rsidRPr="002D204D">
        <w:rPr>
          <w:rFonts w:hint="eastAsia"/>
          <w:color w:val="000000"/>
          <w:szCs w:val="24"/>
        </w:rPr>
        <w:t>минв</w:t>
      </w:r>
      <w:r w:rsidRPr="002D204D">
        <w:rPr>
          <w:color w:val="000000"/>
          <w:szCs w:val="24"/>
        </w:rPr>
        <w:t xml:space="preserve"> 1-</w:t>
      </w:r>
      <w:r w:rsidRPr="002D204D">
        <w:rPr>
          <w:rFonts w:hint="eastAsia"/>
          <w:color w:val="000000"/>
          <w:szCs w:val="24"/>
        </w:rPr>
        <w:t>йи</w:t>
      </w:r>
      <w:r w:rsidRPr="002D204D">
        <w:rPr>
          <w:color w:val="000000"/>
          <w:szCs w:val="24"/>
        </w:rPr>
        <w:t xml:space="preserve"> 8-</w:t>
      </w:r>
      <w:r w:rsidRPr="002D204D">
        <w:rPr>
          <w:rFonts w:hint="eastAsia"/>
          <w:color w:val="000000"/>
          <w:szCs w:val="24"/>
        </w:rPr>
        <w:t>йдни</w:t>
      </w:r>
      <w:r w:rsidRPr="002D204D">
        <w:rPr>
          <w:color w:val="000000"/>
          <w:szCs w:val="24"/>
        </w:rPr>
        <w:t xml:space="preserve">; </w:t>
      </w:r>
      <w:r w:rsidRPr="002D204D">
        <w:rPr>
          <w:rFonts w:hint="eastAsia"/>
          <w:color w:val="000000"/>
          <w:szCs w:val="24"/>
        </w:rPr>
        <w:t>курсыповторяюткаждые</w:t>
      </w:r>
      <w:r w:rsidRPr="002D204D">
        <w:rPr>
          <w:color w:val="000000"/>
          <w:szCs w:val="24"/>
        </w:rPr>
        <w:t xml:space="preserve"> 28 </w:t>
      </w:r>
      <w:r w:rsidRPr="002D204D">
        <w:rPr>
          <w:rFonts w:hint="eastAsia"/>
          <w:color w:val="000000"/>
          <w:szCs w:val="24"/>
        </w:rPr>
        <w:t>дней</w:t>
      </w:r>
      <w:r w:rsidRPr="002D204D">
        <w:rPr>
          <w:color w:val="000000"/>
          <w:szCs w:val="24"/>
        </w:rPr>
        <w:t>;</w:t>
      </w:r>
    </w:p>
    <w:p w:rsidR="006A0CE3" w:rsidRDefault="006A0CE3" w:rsidP="006A0CE3">
      <w:pPr>
        <w:jc w:val="both"/>
        <w:rPr>
          <w:color w:val="000000"/>
          <w:szCs w:val="24"/>
        </w:rPr>
      </w:pPr>
    </w:p>
    <w:p w:rsidR="006A0CE3" w:rsidRDefault="006A0CE3" w:rsidP="006A0CE3">
      <w:pPr>
        <w:jc w:val="both"/>
        <w:rPr>
          <w:color w:val="000000"/>
          <w:szCs w:val="24"/>
        </w:rPr>
      </w:pPr>
    </w:p>
    <w:p w:rsidR="006A0CE3" w:rsidRPr="002D204D" w:rsidRDefault="006A0CE3" w:rsidP="006A0CE3">
      <w:pPr>
        <w:jc w:val="both"/>
        <w:rPr>
          <w:color w:val="000000"/>
          <w:szCs w:val="24"/>
        </w:rPr>
      </w:pPr>
    </w:p>
    <w:p w:rsidR="006A0CE3" w:rsidRPr="002D204D" w:rsidRDefault="006A0CE3" w:rsidP="006A0CE3">
      <w:pPr>
        <w:ind w:firstLine="720"/>
        <w:jc w:val="both"/>
        <w:rPr>
          <w:b/>
          <w:color w:val="000000"/>
          <w:szCs w:val="24"/>
        </w:rPr>
      </w:pPr>
      <w:r w:rsidRPr="002D204D">
        <w:rPr>
          <w:b/>
          <w:color w:val="000000"/>
          <w:szCs w:val="24"/>
        </w:rPr>
        <w:t>23.10. Лечение по стадиям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23.10.1. </w:t>
      </w:r>
      <w:r w:rsidRPr="002D204D">
        <w:rPr>
          <w:color w:val="000000"/>
          <w:szCs w:val="24"/>
          <w:lang w:val="en-US"/>
        </w:rPr>
        <w:t>IA</w:t>
      </w:r>
      <w:r w:rsidRPr="002D204D">
        <w:rPr>
          <w:color w:val="000000"/>
          <w:szCs w:val="24"/>
        </w:rPr>
        <w:t xml:space="preserve"> стадия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При инвазии опухоли до 1 мм показана: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радикальная вульвэктомия, либо широкое иссечение опухоли (2 см от границы опухоли). Лимфодиссекция не показана.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23.10.2. </w:t>
      </w:r>
      <w:r w:rsidRPr="002D204D">
        <w:rPr>
          <w:color w:val="000000"/>
          <w:szCs w:val="24"/>
          <w:lang w:val="en-US"/>
        </w:rPr>
        <w:t>IB</w:t>
      </w:r>
      <w:r w:rsidRPr="002D204D">
        <w:rPr>
          <w:color w:val="000000"/>
          <w:szCs w:val="24"/>
        </w:rPr>
        <w:t xml:space="preserve"> стадия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При раке вульвы </w:t>
      </w:r>
      <w:r w:rsidRPr="002D204D">
        <w:rPr>
          <w:color w:val="000000"/>
          <w:szCs w:val="24"/>
          <w:lang w:val="en-US"/>
        </w:rPr>
        <w:t>IB</w:t>
      </w:r>
      <w:r w:rsidRPr="002D204D">
        <w:rPr>
          <w:color w:val="000000"/>
          <w:szCs w:val="24"/>
        </w:rPr>
        <w:t xml:space="preserve"> стадии с инвазией в подлежащие ткани &gt;</w:t>
      </w:r>
      <w:smartTag w:uri="urn:schemas-microsoft-com:office:smarttags" w:element="metricconverter">
        <w:smartTagPr>
          <w:attr w:name="ProductID" w:val="1 мм"/>
        </w:smartTagPr>
        <w:r w:rsidRPr="002D204D">
          <w:rPr>
            <w:color w:val="000000"/>
            <w:szCs w:val="24"/>
          </w:rPr>
          <w:t>1 мм,</w:t>
        </w:r>
      </w:smartTag>
      <w:r w:rsidRPr="002D204D">
        <w:rPr>
          <w:color w:val="000000"/>
          <w:szCs w:val="24"/>
        </w:rPr>
        <w:t xml:space="preserve"> латеральной локализации опухоли, отсутствии данных, свидетельствующих о метастатическом поражении регионарных лимфоузлов, показана радикальная модифицированная вульвэктомия или широкое иссечение опухоли. В обоих случаях с бедренно-паховой лимфаденэктомией на стороне поражения.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В других ситуациях при раке вульвы </w:t>
      </w:r>
      <w:r w:rsidRPr="002D204D">
        <w:rPr>
          <w:color w:val="000000"/>
          <w:szCs w:val="24"/>
          <w:lang w:val="en-US"/>
        </w:rPr>
        <w:t>I</w:t>
      </w:r>
      <w:r w:rsidRPr="002D204D">
        <w:rPr>
          <w:color w:val="000000"/>
          <w:szCs w:val="24"/>
        </w:rPr>
        <w:t>В стадии с центральной локализацией опухоли, поражением клитора или задней спайки, показана радикальная модифицированная вульвэктомия с двусторонней бедренно-паховой лимфодиссекцией.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23.10.3. </w:t>
      </w:r>
      <w:r w:rsidRPr="002D204D">
        <w:rPr>
          <w:color w:val="000000"/>
          <w:szCs w:val="24"/>
          <w:lang w:val="en-US"/>
        </w:rPr>
        <w:t>II</w:t>
      </w:r>
      <w:r w:rsidRPr="002D204D">
        <w:rPr>
          <w:color w:val="000000"/>
          <w:szCs w:val="24"/>
        </w:rPr>
        <w:t xml:space="preserve"> стадия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При </w:t>
      </w:r>
      <w:r w:rsidRPr="002D204D">
        <w:rPr>
          <w:color w:val="000000"/>
          <w:szCs w:val="24"/>
          <w:lang w:val="en-US"/>
        </w:rPr>
        <w:t>II</w:t>
      </w:r>
      <w:r w:rsidRPr="002D204D">
        <w:rPr>
          <w:color w:val="000000"/>
          <w:szCs w:val="24"/>
        </w:rPr>
        <w:t xml:space="preserve"> стадии показана радикальная модифицированная вульвэктомия, с резекцией пораженных дистального отрезка уретры и/или влагалища, и/или анального кольца с двусторонней бедренно-паховой лимфаденэктомией.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23.10.4. </w:t>
      </w:r>
      <w:r w:rsidRPr="002D204D">
        <w:rPr>
          <w:color w:val="000000"/>
          <w:szCs w:val="24"/>
          <w:lang w:val="en-US"/>
        </w:rPr>
        <w:t>IIIA</w:t>
      </w:r>
      <w:r w:rsidRPr="002D204D">
        <w:rPr>
          <w:color w:val="000000"/>
          <w:szCs w:val="24"/>
        </w:rPr>
        <w:t>-</w:t>
      </w:r>
      <w:r w:rsidRPr="002D204D">
        <w:rPr>
          <w:color w:val="000000"/>
          <w:szCs w:val="24"/>
          <w:lang w:val="en-US"/>
        </w:rPr>
        <w:t>IVA</w:t>
      </w:r>
      <w:r w:rsidRPr="002D204D">
        <w:rPr>
          <w:color w:val="000000"/>
          <w:szCs w:val="24"/>
        </w:rPr>
        <w:t xml:space="preserve"> стадия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Для некоторых пациенток с распространенными первичными опухолями возможно выполнение радикальных операций, таких как радикальная вульвэктомия, и ультрарадикальных операций, таких как радикальная вульвэктомия с каким-либо вариантом экзентерации (резекции). </w:t>
      </w:r>
      <w:r w:rsidRPr="002D204D">
        <w:rPr>
          <w:color w:val="000000"/>
          <w:szCs w:val="24"/>
        </w:rPr>
        <w:lastRenderedPageBreak/>
        <w:t>У части пациенток выполнением ультрарадикальных операций можно добиться полного излечения, однако риск острых и хронических осложнений такого лечения достаточно высок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При наличии метастазов в регионарных лимфоузлах дополнительное выполнение подвздошной лимфодиссекции на стороне поражения нецелесообразно. Ввиду доказанного преимущества предпочтительней в послеоперационном периоде провести адъювантную лучевую терапию на соответствующую подвздошную зону.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При сомнительной резектабельности назначают предоперационную лучевую терапию либо химиотерапию с целью локализации опухолевого процесса.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Для оценки радикальности выполненной операции необходимо гистологическое исследование краев отсечения с применением стандартной методики: край отсечения кожи на 3, 6, 9 и 12 часах, а также край отсечения от слизистой влагалища и любого другого резецированного органа.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23.10.5. </w:t>
      </w:r>
      <w:r w:rsidRPr="002D204D">
        <w:rPr>
          <w:color w:val="000000"/>
          <w:szCs w:val="24"/>
          <w:lang w:val="en-US"/>
        </w:rPr>
        <w:t>IVB</w:t>
      </w:r>
      <w:r w:rsidRPr="002D204D">
        <w:rPr>
          <w:color w:val="000000"/>
          <w:szCs w:val="24"/>
        </w:rPr>
        <w:t xml:space="preserve"> стадия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При М1 с поражением только тазовых лимфоузлов (отдаленные метастазы), при отсутствии абсолютных противопоказаний, показано хирургическое лечение в объеме радикальной вульвэктомии с двусторонней бедренно-пахово-подвздошной лимфаденэктомией. После операции проводят лучевую терапию в том числе и на подвздошные зоны.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При </w:t>
      </w:r>
      <w:r w:rsidRPr="002D204D">
        <w:rPr>
          <w:color w:val="000000"/>
          <w:szCs w:val="24"/>
          <w:lang w:val="en-US"/>
        </w:rPr>
        <w:t>IV</w:t>
      </w:r>
      <w:r w:rsidRPr="002D204D">
        <w:rPr>
          <w:color w:val="000000"/>
          <w:szCs w:val="24"/>
        </w:rPr>
        <w:t>В стадии проводят паллиативное лечение с комбинацией хирургического, лучевого и химиотерапевтического лечения.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23.10.6. Рецидивы рака вульвы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Лечение носит персонифицированный характер с учетом предыдущих операций и доз лучевой терапии. В первую очередь необходимо оценить возможности хирургического вмешательства. Для закрытия дефектов, а также при удалении облученных тканей следует применять методы пластической хирургии. В ряде случаев оправданы комбинированные, паллиативные или симптоматические операции. При резектабельных рецидивах повторное хирургическое вмешательство может быть дополнено облучением и химиотерапией. При нерезектабельных рецидивах используется лучевая терапия в комбинации с химиотерапией.</w:t>
      </w:r>
    </w:p>
    <w:p w:rsidR="006A0CE3" w:rsidRPr="002D204D" w:rsidRDefault="006A0CE3" w:rsidP="006A0CE3">
      <w:pPr>
        <w:ind w:firstLine="720"/>
        <w:jc w:val="both"/>
        <w:rPr>
          <w:szCs w:val="24"/>
        </w:rPr>
      </w:pPr>
      <w:bookmarkStart w:id="52" w:name="_Toc128294685"/>
      <w:bookmarkStart w:id="53" w:name="_Toc128295591"/>
      <w:bookmarkStart w:id="54" w:name="_Toc128300064"/>
      <w:bookmarkStart w:id="55" w:name="_Toc128994952"/>
      <w:r w:rsidRPr="002D204D">
        <w:rPr>
          <w:color w:val="000000"/>
          <w:szCs w:val="24"/>
        </w:rPr>
        <w:t xml:space="preserve">23.10.7. </w:t>
      </w:r>
      <w:r w:rsidRPr="002D204D">
        <w:rPr>
          <w:szCs w:val="24"/>
        </w:rPr>
        <w:t>Лечение по стадиям</w:t>
      </w:r>
      <w:bookmarkEnd w:id="52"/>
      <w:bookmarkEnd w:id="53"/>
      <w:bookmarkEnd w:id="54"/>
      <w:bookmarkEnd w:id="55"/>
      <w:r w:rsidRPr="002D204D">
        <w:rPr>
          <w:szCs w:val="24"/>
        </w:rPr>
        <w:t xml:space="preserve"> (таблица 23.5).</w:t>
      </w:r>
    </w:p>
    <w:p w:rsidR="006A0CE3" w:rsidRPr="002D204D" w:rsidRDefault="006A0CE3" w:rsidP="006A0CE3">
      <w:pPr>
        <w:jc w:val="right"/>
        <w:rPr>
          <w:szCs w:val="24"/>
        </w:rPr>
      </w:pPr>
      <w:r w:rsidRPr="002D204D">
        <w:rPr>
          <w:szCs w:val="24"/>
        </w:rPr>
        <w:lastRenderedPageBreak/>
        <w:t>Таблица 23.5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5"/>
        <w:gridCol w:w="7638"/>
      </w:tblGrid>
      <w:tr w:rsidR="006A0CE3" w:rsidRPr="002D204D" w:rsidTr="0091738A">
        <w:tc>
          <w:tcPr>
            <w:tcW w:w="1830" w:type="dxa"/>
            <w:shd w:val="clear" w:color="auto" w:fill="auto"/>
          </w:tcPr>
          <w:p w:rsidR="006A0CE3" w:rsidRPr="002D204D" w:rsidRDefault="006A0CE3" w:rsidP="0091738A">
            <w:pPr>
              <w:rPr>
                <w:szCs w:val="24"/>
              </w:rPr>
            </w:pPr>
            <w:r w:rsidRPr="002D204D">
              <w:rPr>
                <w:szCs w:val="24"/>
                <w:lang w:val="en-US"/>
              </w:rPr>
              <w:t>IA</w:t>
            </w:r>
            <w:r w:rsidRPr="002D204D">
              <w:rPr>
                <w:szCs w:val="24"/>
              </w:rPr>
              <w:t xml:space="preserve"> стадия</w:t>
            </w:r>
          </w:p>
        </w:tc>
        <w:tc>
          <w:tcPr>
            <w:tcW w:w="7690" w:type="dxa"/>
            <w:shd w:val="clear" w:color="auto" w:fill="auto"/>
          </w:tcPr>
          <w:p w:rsidR="006A0CE3" w:rsidRPr="002D204D" w:rsidRDefault="006A0CE3" w:rsidP="0091738A">
            <w:pPr>
              <w:ind w:left="38"/>
              <w:jc w:val="both"/>
              <w:rPr>
                <w:color w:val="000000"/>
                <w:szCs w:val="24"/>
              </w:rPr>
            </w:pPr>
            <w:r w:rsidRPr="002D204D">
              <w:rPr>
                <w:color w:val="000000"/>
                <w:szCs w:val="24"/>
              </w:rPr>
              <w:t>радикальная вульвэктомия или широкое иссечение опухоли;</w:t>
            </w:r>
          </w:p>
          <w:p w:rsidR="006A0CE3" w:rsidRPr="002D204D" w:rsidRDefault="006A0CE3" w:rsidP="0091738A">
            <w:pPr>
              <w:rPr>
                <w:szCs w:val="24"/>
              </w:rPr>
            </w:pPr>
            <w:r w:rsidRPr="002D204D">
              <w:rPr>
                <w:color w:val="000000"/>
                <w:szCs w:val="24"/>
              </w:rPr>
              <w:t>внутритканевая брахитерапия</w:t>
            </w:r>
            <w:r w:rsidRPr="002D204D">
              <w:rPr>
                <w:color w:val="000000"/>
                <w:szCs w:val="24"/>
                <w:vertAlign w:val="superscript"/>
              </w:rPr>
              <w:t>1</w:t>
            </w:r>
            <w:r w:rsidRPr="002D204D">
              <w:rPr>
                <w:color w:val="000000"/>
                <w:szCs w:val="24"/>
              </w:rPr>
              <w:t>.</w:t>
            </w:r>
          </w:p>
        </w:tc>
      </w:tr>
      <w:tr w:rsidR="006A0CE3" w:rsidRPr="002D204D" w:rsidTr="0091738A">
        <w:tc>
          <w:tcPr>
            <w:tcW w:w="1830" w:type="dxa"/>
            <w:shd w:val="clear" w:color="auto" w:fill="auto"/>
          </w:tcPr>
          <w:p w:rsidR="006A0CE3" w:rsidRPr="002D204D" w:rsidRDefault="006A0CE3" w:rsidP="0091738A">
            <w:pPr>
              <w:rPr>
                <w:szCs w:val="24"/>
              </w:rPr>
            </w:pPr>
            <w:r w:rsidRPr="002D204D">
              <w:rPr>
                <w:color w:val="000000"/>
                <w:szCs w:val="24"/>
                <w:lang w:val="en-US"/>
              </w:rPr>
              <w:t>IB</w:t>
            </w:r>
            <w:r w:rsidRPr="002D204D">
              <w:rPr>
                <w:color w:val="000000"/>
                <w:szCs w:val="24"/>
              </w:rPr>
              <w:t xml:space="preserve"> стадия</w:t>
            </w:r>
          </w:p>
        </w:tc>
        <w:tc>
          <w:tcPr>
            <w:tcW w:w="7690" w:type="dxa"/>
            <w:shd w:val="clear" w:color="auto" w:fill="auto"/>
          </w:tcPr>
          <w:p w:rsidR="006A0CE3" w:rsidRPr="002D204D" w:rsidRDefault="006A0CE3" w:rsidP="0091738A">
            <w:pPr>
              <w:ind w:left="38"/>
              <w:jc w:val="both"/>
              <w:rPr>
                <w:color w:val="000000"/>
                <w:szCs w:val="24"/>
              </w:rPr>
            </w:pPr>
            <w:r w:rsidRPr="002D204D">
              <w:rPr>
                <w:color w:val="000000"/>
                <w:szCs w:val="24"/>
              </w:rPr>
              <w:t>радикальная модифицированная вульвэктомия + двусторонняя бедренно-паховая лимфаденэктомия</w:t>
            </w:r>
            <w:r w:rsidRPr="002D204D">
              <w:rPr>
                <w:color w:val="000000"/>
                <w:szCs w:val="24"/>
                <w:vertAlign w:val="superscript"/>
              </w:rPr>
              <w:t>2</w:t>
            </w:r>
            <w:r w:rsidRPr="002D204D">
              <w:rPr>
                <w:color w:val="000000"/>
                <w:szCs w:val="24"/>
              </w:rPr>
              <w:t xml:space="preserve"> ± послеоперационная лучевая терапия</w:t>
            </w:r>
            <w:r w:rsidRPr="002D204D">
              <w:rPr>
                <w:color w:val="000000"/>
                <w:szCs w:val="24"/>
                <w:vertAlign w:val="superscript"/>
              </w:rPr>
              <w:t>3</w:t>
            </w:r>
            <w:r w:rsidRPr="002D204D">
              <w:rPr>
                <w:color w:val="000000"/>
                <w:szCs w:val="24"/>
              </w:rPr>
              <w:t>;</w:t>
            </w:r>
          </w:p>
          <w:p w:rsidR="006A0CE3" w:rsidRPr="002D204D" w:rsidRDefault="006A0CE3" w:rsidP="0091738A">
            <w:pPr>
              <w:rPr>
                <w:szCs w:val="24"/>
              </w:rPr>
            </w:pPr>
            <w:r w:rsidRPr="002D204D">
              <w:rPr>
                <w:color w:val="000000"/>
                <w:szCs w:val="24"/>
              </w:rPr>
              <w:t>лучевая терапия на первичный очаг и регионарные лимфоузлы</w:t>
            </w:r>
            <w:r w:rsidRPr="002D204D">
              <w:rPr>
                <w:color w:val="000000"/>
                <w:szCs w:val="24"/>
                <w:vertAlign w:val="superscript"/>
              </w:rPr>
              <w:t>1</w:t>
            </w:r>
          </w:p>
        </w:tc>
      </w:tr>
      <w:tr w:rsidR="006A0CE3" w:rsidRPr="002D204D" w:rsidTr="0091738A">
        <w:tc>
          <w:tcPr>
            <w:tcW w:w="1830" w:type="dxa"/>
            <w:shd w:val="clear" w:color="auto" w:fill="auto"/>
          </w:tcPr>
          <w:p w:rsidR="006A0CE3" w:rsidRPr="002D204D" w:rsidRDefault="006A0CE3" w:rsidP="0091738A">
            <w:pPr>
              <w:rPr>
                <w:szCs w:val="24"/>
              </w:rPr>
            </w:pPr>
            <w:r w:rsidRPr="002D204D">
              <w:rPr>
                <w:color w:val="000000"/>
                <w:szCs w:val="24"/>
                <w:lang w:val="en-US"/>
              </w:rPr>
              <w:t>II</w:t>
            </w:r>
            <w:r w:rsidRPr="002D204D">
              <w:rPr>
                <w:color w:val="000000"/>
                <w:szCs w:val="24"/>
              </w:rPr>
              <w:t xml:space="preserve"> стадия</w:t>
            </w:r>
          </w:p>
        </w:tc>
        <w:tc>
          <w:tcPr>
            <w:tcW w:w="7690" w:type="dxa"/>
            <w:shd w:val="clear" w:color="auto" w:fill="auto"/>
          </w:tcPr>
          <w:p w:rsidR="006A0CE3" w:rsidRPr="002D204D" w:rsidRDefault="006A0CE3" w:rsidP="0091738A">
            <w:pPr>
              <w:ind w:left="75"/>
              <w:rPr>
                <w:color w:val="000000"/>
                <w:szCs w:val="24"/>
              </w:rPr>
            </w:pPr>
            <w:r w:rsidRPr="002D204D">
              <w:rPr>
                <w:color w:val="000000"/>
                <w:szCs w:val="24"/>
              </w:rPr>
              <w:t>радикальная модифицированная вульвэктомия + двусторонняя бедренно-паховая лимфаденэктомия ± послеоперационная лучевая терапия</w:t>
            </w:r>
            <w:r w:rsidRPr="002D204D">
              <w:rPr>
                <w:color w:val="000000"/>
                <w:szCs w:val="24"/>
                <w:vertAlign w:val="superscript"/>
              </w:rPr>
              <w:t>3</w:t>
            </w:r>
            <w:r w:rsidRPr="002D204D">
              <w:rPr>
                <w:color w:val="000000"/>
                <w:szCs w:val="24"/>
              </w:rPr>
              <w:t>;</w:t>
            </w:r>
          </w:p>
          <w:p w:rsidR="006A0CE3" w:rsidRPr="002D204D" w:rsidRDefault="006A0CE3" w:rsidP="0091738A">
            <w:pPr>
              <w:rPr>
                <w:szCs w:val="24"/>
              </w:rPr>
            </w:pPr>
            <w:r w:rsidRPr="002D204D">
              <w:rPr>
                <w:color w:val="000000"/>
                <w:szCs w:val="24"/>
              </w:rPr>
              <w:t xml:space="preserve">радикальная химиолучевая терапия на первичный очаг и регионарные лимфоузлы </w:t>
            </w:r>
            <w:r w:rsidRPr="002D204D">
              <w:rPr>
                <w:color w:val="000000"/>
                <w:szCs w:val="24"/>
                <w:vertAlign w:val="superscript"/>
              </w:rPr>
              <w:t>1</w:t>
            </w:r>
          </w:p>
        </w:tc>
      </w:tr>
      <w:tr w:rsidR="006A0CE3" w:rsidRPr="002D204D" w:rsidTr="0091738A">
        <w:tc>
          <w:tcPr>
            <w:tcW w:w="1830" w:type="dxa"/>
            <w:shd w:val="clear" w:color="auto" w:fill="auto"/>
          </w:tcPr>
          <w:p w:rsidR="006A0CE3" w:rsidRPr="002D204D" w:rsidRDefault="006A0CE3" w:rsidP="0091738A">
            <w:pPr>
              <w:rPr>
                <w:szCs w:val="24"/>
              </w:rPr>
            </w:pPr>
            <w:r w:rsidRPr="002D204D">
              <w:rPr>
                <w:color w:val="000000"/>
                <w:szCs w:val="24"/>
                <w:lang w:val="en-US"/>
              </w:rPr>
              <w:t>III</w:t>
            </w:r>
            <w:r w:rsidRPr="002D204D">
              <w:rPr>
                <w:color w:val="000000"/>
                <w:szCs w:val="24"/>
              </w:rPr>
              <w:t>-</w:t>
            </w:r>
            <w:r w:rsidRPr="002D204D">
              <w:rPr>
                <w:color w:val="000000"/>
                <w:szCs w:val="24"/>
                <w:lang w:val="en-US"/>
              </w:rPr>
              <w:t>IVA</w:t>
            </w:r>
            <w:r w:rsidRPr="002D204D">
              <w:rPr>
                <w:color w:val="000000"/>
                <w:szCs w:val="24"/>
              </w:rPr>
              <w:t xml:space="preserve"> стадия</w:t>
            </w:r>
          </w:p>
        </w:tc>
        <w:tc>
          <w:tcPr>
            <w:tcW w:w="7690" w:type="dxa"/>
            <w:shd w:val="clear" w:color="auto" w:fill="auto"/>
          </w:tcPr>
          <w:p w:rsidR="006A0CE3" w:rsidRPr="002D204D" w:rsidRDefault="006A0CE3" w:rsidP="0091738A">
            <w:pPr>
              <w:widowControl w:val="0"/>
              <w:tabs>
                <w:tab w:val="left" w:pos="2880"/>
              </w:tabs>
              <w:ind w:left="38"/>
              <w:jc w:val="both"/>
              <w:rPr>
                <w:snapToGrid w:val="0"/>
                <w:color w:val="000000"/>
                <w:szCs w:val="24"/>
              </w:rPr>
            </w:pPr>
            <w:r w:rsidRPr="002D204D">
              <w:rPr>
                <w:snapToGrid w:val="0"/>
                <w:color w:val="000000"/>
                <w:szCs w:val="24"/>
              </w:rPr>
              <w:t>радикальная (±модифицированная) вульвэктомия + двусторонняя бедренно-паховая лимфаденэктомия ± какой-либо вариант резекции/экзентерации + послеоперационная лучевая терапия</w:t>
            </w:r>
            <w:r w:rsidRPr="002D204D">
              <w:rPr>
                <w:snapToGrid w:val="0"/>
                <w:color w:val="000000"/>
                <w:szCs w:val="24"/>
                <w:vertAlign w:val="superscript"/>
              </w:rPr>
              <w:t>3</w:t>
            </w:r>
            <w:r w:rsidRPr="002D204D">
              <w:rPr>
                <w:snapToGrid w:val="0"/>
                <w:color w:val="000000"/>
                <w:szCs w:val="24"/>
              </w:rPr>
              <w:t>;</w:t>
            </w:r>
          </w:p>
          <w:p w:rsidR="006A0CE3" w:rsidRPr="002D204D" w:rsidRDefault="006A0CE3" w:rsidP="0091738A">
            <w:pPr>
              <w:ind w:left="38"/>
              <w:jc w:val="both"/>
              <w:rPr>
                <w:color w:val="000000"/>
                <w:szCs w:val="24"/>
              </w:rPr>
            </w:pPr>
            <w:r w:rsidRPr="002D204D">
              <w:rPr>
                <w:color w:val="000000"/>
                <w:szCs w:val="24"/>
              </w:rPr>
              <w:t>предоперационная лучевая терапия (при нерезектабельной опухоли) + радикальная вульвэктомия + бедренно-паховая лимфаденэктомия;</w:t>
            </w:r>
          </w:p>
          <w:p w:rsidR="006A0CE3" w:rsidRPr="002D204D" w:rsidRDefault="006A0CE3" w:rsidP="0091738A">
            <w:pPr>
              <w:rPr>
                <w:szCs w:val="24"/>
              </w:rPr>
            </w:pPr>
            <w:r w:rsidRPr="002D204D">
              <w:rPr>
                <w:color w:val="000000"/>
                <w:szCs w:val="24"/>
              </w:rPr>
              <w:t>радикальная химиолучевая терапия на первичный очаг и пахово-бедренные зоны</w:t>
            </w:r>
            <w:r w:rsidRPr="002D204D">
              <w:rPr>
                <w:color w:val="000000"/>
                <w:szCs w:val="24"/>
                <w:vertAlign w:val="superscript"/>
              </w:rPr>
              <w:t>1</w:t>
            </w:r>
            <w:r w:rsidRPr="002D204D">
              <w:rPr>
                <w:color w:val="000000"/>
                <w:szCs w:val="24"/>
              </w:rPr>
              <w:t>.</w:t>
            </w:r>
          </w:p>
        </w:tc>
      </w:tr>
      <w:tr w:rsidR="006A0CE3" w:rsidRPr="002D204D" w:rsidTr="0091738A">
        <w:tc>
          <w:tcPr>
            <w:tcW w:w="1830" w:type="dxa"/>
            <w:shd w:val="clear" w:color="auto" w:fill="auto"/>
          </w:tcPr>
          <w:p w:rsidR="006A0CE3" w:rsidRPr="002D204D" w:rsidRDefault="006A0CE3" w:rsidP="0091738A">
            <w:pPr>
              <w:rPr>
                <w:szCs w:val="24"/>
              </w:rPr>
            </w:pPr>
            <w:r w:rsidRPr="002D204D">
              <w:rPr>
                <w:color w:val="000000"/>
                <w:szCs w:val="24"/>
                <w:lang w:val="en-US"/>
              </w:rPr>
              <w:t>IV</w:t>
            </w:r>
            <w:r w:rsidRPr="002D204D">
              <w:rPr>
                <w:color w:val="000000"/>
                <w:szCs w:val="24"/>
              </w:rPr>
              <w:t>В стадия</w:t>
            </w:r>
            <w:r w:rsidRPr="002D204D">
              <w:rPr>
                <w:color w:val="000000"/>
                <w:szCs w:val="24"/>
                <w:lang w:val="en-US"/>
              </w:rPr>
              <w:t xml:space="preserve"> и р</w:t>
            </w:r>
            <w:r w:rsidRPr="002D204D">
              <w:rPr>
                <w:color w:val="000000"/>
                <w:szCs w:val="24"/>
              </w:rPr>
              <w:t>ецидивы</w:t>
            </w:r>
          </w:p>
        </w:tc>
        <w:tc>
          <w:tcPr>
            <w:tcW w:w="7690" w:type="dxa"/>
            <w:shd w:val="clear" w:color="auto" w:fill="auto"/>
          </w:tcPr>
          <w:p w:rsidR="006A0CE3" w:rsidRPr="002D204D" w:rsidRDefault="006A0CE3" w:rsidP="0091738A">
            <w:pPr>
              <w:widowControl w:val="0"/>
              <w:ind w:left="-69"/>
              <w:rPr>
                <w:snapToGrid w:val="0"/>
                <w:color w:val="000000"/>
                <w:szCs w:val="24"/>
              </w:rPr>
            </w:pPr>
            <w:r w:rsidRPr="002D204D">
              <w:rPr>
                <w:snapToGrid w:val="0"/>
                <w:color w:val="000000"/>
                <w:szCs w:val="24"/>
              </w:rPr>
              <w:t>индивидуализировано</w:t>
            </w:r>
          </w:p>
          <w:p w:rsidR="006A0CE3" w:rsidRPr="002D204D" w:rsidRDefault="006A0CE3" w:rsidP="0091738A">
            <w:pPr>
              <w:widowControl w:val="0"/>
              <w:tabs>
                <w:tab w:val="left" w:pos="2880"/>
              </w:tabs>
              <w:ind w:left="-69"/>
              <w:rPr>
                <w:snapToGrid w:val="0"/>
                <w:color w:val="000000"/>
                <w:szCs w:val="24"/>
              </w:rPr>
            </w:pPr>
            <w:r w:rsidRPr="002D204D">
              <w:rPr>
                <w:snapToGrid w:val="0"/>
                <w:color w:val="000000"/>
                <w:szCs w:val="24"/>
              </w:rPr>
              <w:t xml:space="preserve">различные по объему оперативные вмешательства; </w:t>
            </w:r>
          </w:p>
          <w:p w:rsidR="006A0CE3" w:rsidRPr="002D204D" w:rsidRDefault="006A0CE3" w:rsidP="0091738A">
            <w:pPr>
              <w:ind w:left="-69"/>
              <w:jc w:val="both"/>
              <w:rPr>
                <w:color w:val="000000"/>
                <w:szCs w:val="24"/>
              </w:rPr>
            </w:pPr>
            <w:r w:rsidRPr="002D204D">
              <w:rPr>
                <w:color w:val="000000"/>
                <w:szCs w:val="24"/>
              </w:rPr>
              <w:t>паллиативная лучевая терапия;</w:t>
            </w:r>
          </w:p>
          <w:p w:rsidR="006A0CE3" w:rsidRPr="002D204D" w:rsidRDefault="006A0CE3" w:rsidP="0091738A">
            <w:pPr>
              <w:ind w:left="-69"/>
              <w:jc w:val="both"/>
              <w:rPr>
                <w:color w:val="000000"/>
                <w:szCs w:val="24"/>
              </w:rPr>
            </w:pPr>
            <w:r w:rsidRPr="002D204D">
              <w:rPr>
                <w:color w:val="000000"/>
                <w:szCs w:val="24"/>
              </w:rPr>
              <w:t xml:space="preserve">паллиативная химиотерапия </w:t>
            </w:r>
          </w:p>
        </w:tc>
      </w:tr>
    </w:tbl>
    <w:p w:rsidR="006A0CE3" w:rsidRPr="002D204D" w:rsidRDefault="006A0CE3" w:rsidP="006A0CE3">
      <w:pPr>
        <w:ind w:firstLine="720"/>
        <w:rPr>
          <w:sz w:val="18"/>
          <w:szCs w:val="18"/>
        </w:rPr>
      </w:pPr>
      <w:r w:rsidRPr="002D204D">
        <w:rPr>
          <w:sz w:val="18"/>
          <w:szCs w:val="18"/>
        </w:rPr>
        <w:t>Примечание:</w:t>
      </w:r>
    </w:p>
    <w:p w:rsidR="006A0CE3" w:rsidRPr="002D204D" w:rsidRDefault="006A0CE3" w:rsidP="006A0CE3">
      <w:pPr>
        <w:ind w:firstLine="720"/>
        <w:rPr>
          <w:sz w:val="18"/>
          <w:szCs w:val="18"/>
        </w:rPr>
      </w:pPr>
      <w:r w:rsidRPr="002D204D">
        <w:rPr>
          <w:sz w:val="18"/>
          <w:szCs w:val="18"/>
          <w:vertAlign w:val="superscript"/>
        </w:rPr>
        <w:t>1</w:t>
      </w:r>
      <w:r w:rsidRPr="002D204D">
        <w:rPr>
          <w:sz w:val="18"/>
          <w:szCs w:val="18"/>
        </w:rPr>
        <w:t xml:space="preserve"> при абсолютных противопоказаниях к операции;</w:t>
      </w:r>
    </w:p>
    <w:p w:rsidR="006A0CE3" w:rsidRPr="002D204D" w:rsidRDefault="006A0CE3" w:rsidP="006A0CE3">
      <w:pPr>
        <w:ind w:firstLine="720"/>
        <w:jc w:val="both"/>
        <w:rPr>
          <w:sz w:val="18"/>
          <w:szCs w:val="18"/>
        </w:rPr>
      </w:pPr>
      <w:r w:rsidRPr="002D204D">
        <w:rPr>
          <w:sz w:val="18"/>
          <w:szCs w:val="18"/>
          <w:vertAlign w:val="superscript"/>
        </w:rPr>
        <w:t>2</w:t>
      </w:r>
      <w:r w:rsidRPr="002D204D">
        <w:rPr>
          <w:sz w:val="18"/>
          <w:szCs w:val="18"/>
        </w:rPr>
        <w:t xml:space="preserve"> при инвазии в ткани &lt;1 мм, латеральной локализации, высокой дифференцировке возможно широкое иссечение опухоли и односторонняя бедренно-паховая лимфодиссекция;</w:t>
      </w:r>
    </w:p>
    <w:p w:rsidR="006A0CE3" w:rsidRPr="002D204D" w:rsidRDefault="006A0CE3" w:rsidP="006A0CE3">
      <w:pPr>
        <w:ind w:firstLine="720"/>
        <w:rPr>
          <w:sz w:val="18"/>
          <w:szCs w:val="18"/>
        </w:rPr>
      </w:pPr>
      <w:r w:rsidRPr="002D204D">
        <w:rPr>
          <w:sz w:val="18"/>
          <w:szCs w:val="18"/>
          <w:vertAlign w:val="superscript"/>
        </w:rPr>
        <w:t>3</w:t>
      </w:r>
      <w:r w:rsidRPr="002D204D">
        <w:rPr>
          <w:sz w:val="18"/>
          <w:szCs w:val="18"/>
        </w:rPr>
        <w:t xml:space="preserve">при нерадикальном удалении опухоли R </w:t>
      </w:r>
      <w:r w:rsidRPr="002D204D">
        <w:rPr>
          <w:sz w:val="18"/>
          <w:szCs w:val="18"/>
          <w:vertAlign w:val="subscript"/>
        </w:rPr>
        <w:t>1,2</w:t>
      </w:r>
      <w:r w:rsidRPr="002D204D">
        <w:rPr>
          <w:sz w:val="18"/>
          <w:szCs w:val="18"/>
        </w:rPr>
        <w:t>; в случае наличия метастазов в паховых и/или бедренных лимфоузлах показано дополнительное облучение зоны бедренно-паховых и подвздошных лимфоузлов.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</w:p>
    <w:p w:rsidR="006A0CE3" w:rsidRPr="002D204D" w:rsidRDefault="006A0CE3" w:rsidP="006A0CE3">
      <w:pPr>
        <w:ind w:firstLine="720"/>
        <w:jc w:val="both"/>
        <w:rPr>
          <w:b/>
          <w:color w:val="000000"/>
          <w:szCs w:val="24"/>
        </w:rPr>
      </w:pPr>
      <w:r w:rsidRPr="002D204D">
        <w:rPr>
          <w:b/>
          <w:color w:val="000000"/>
          <w:szCs w:val="24"/>
        </w:rPr>
        <w:t>23.11. Наблюдение, сроки и объем обследования.</w:t>
      </w:r>
    </w:p>
    <w:p w:rsidR="006A0CE3" w:rsidRPr="002D204D" w:rsidRDefault="006A0CE3" w:rsidP="006A0CE3">
      <w:pPr>
        <w:ind w:firstLine="720"/>
        <w:rPr>
          <w:color w:val="000000"/>
          <w:szCs w:val="24"/>
        </w:rPr>
      </w:pPr>
      <w:r w:rsidRPr="002D204D">
        <w:rPr>
          <w:color w:val="000000"/>
          <w:szCs w:val="24"/>
        </w:rPr>
        <w:t>23.11.1. Режим наблюдения: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первый, второй год – 1 раз в 3 месяца;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третий, четвертый и пятый год – 1 раз в 6 месяцев;</w:t>
      </w:r>
    </w:p>
    <w:p w:rsidR="006A0CE3" w:rsidRPr="002D204D" w:rsidRDefault="006A0CE3" w:rsidP="006A0CE3">
      <w:pPr>
        <w:ind w:firstLine="720"/>
        <w:jc w:val="both"/>
        <w:rPr>
          <w:szCs w:val="24"/>
        </w:rPr>
      </w:pPr>
      <w:r w:rsidRPr="002D204D">
        <w:rPr>
          <w:szCs w:val="24"/>
        </w:rPr>
        <w:t>в последующем 1 раз в год.</w:t>
      </w:r>
    </w:p>
    <w:p w:rsidR="006A0CE3" w:rsidRPr="002D204D" w:rsidRDefault="006A0CE3" w:rsidP="006A0CE3">
      <w:pPr>
        <w:ind w:firstLine="720"/>
        <w:rPr>
          <w:color w:val="000000"/>
          <w:szCs w:val="24"/>
        </w:rPr>
      </w:pPr>
      <w:r w:rsidRPr="002D204D">
        <w:rPr>
          <w:color w:val="000000"/>
          <w:szCs w:val="24"/>
        </w:rPr>
        <w:t>23.11.2. Объем обследования: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клиническое обследование;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гинекологический осмотр;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взятие мазков для цитологического исследования из вульвы и влагалища;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 xml:space="preserve">лабораторное исследование; 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вульвоскопия, вагиноскопия, кольпоскопия;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гинекологическое исследование;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УЗИ органов малого таза, брюшной полости, паховых областей, тазовых лимфоузлов (при наличии жалоб).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осмотр и пальпация бедренно-паховой зоны;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рентгенологическое исследование органов грудной клетки – 1 раз в год;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По показаниям: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сцинтиграфия костей скелета;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КТ и/или МРТ промежности и таза;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колоноскопия;</w:t>
      </w:r>
    </w:p>
    <w:p w:rsidR="006A0CE3" w:rsidRPr="002D204D" w:rsidRDefault="006A0CE3" w:rsidP="006A0CE3">
      <w:pPr>
        <w:ind w:firstLine="720"/>
        <w:jc w:val="both"/>
        <w:rPr>
          <w:color w:val="000000"/>
          <w:szCs w:val="24"/>
        </w:rPr>
      </w:pPr>
      <w:r w:rsidRPr="002D204D">
        <w:rPr>
          <w:color w:val="000000"/>
          <w:szCs w:val="24"/>
        </w:rPr>
        <w:t>внутривенная урография.</w:t>
      </w:r>
    </w:p>
    <w:p w:rsidR="00651BF7" w:rsidRPr="006A0CE3" w:rsidRDefault="00651BF7"/>
    <w:sectPr w:rsidR="00651BF7" w:rsidRPr="006A0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6A0CE3"/>
    <w:rsid w:val="00651BF7"/>
    <w:rsid w:val="006A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5">
    <w:name w:val="Сетка таблицы15"/>
    <w:basedOn w:val="a1"/>
    <w:uiPriority w:val="39"/>
    <w:rsid w:val="006A0CE3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39"/>
    <w:rsid w:val="006A0CE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A0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4121</Words>
  <Characters>23493</Characters>
  <Application>Microsoft Office Word</Application>
  <DocSecurity>0</DocSecurity>
  <Lines>195</Lines>
  <Paragraphs>55</Paragraphs>
  <ScaleCrop>false</ScaleCrop>
  <Company>Reanimator Extreme Edition</Company>
  <LinksUpToDate>false</LinksUpToDate>
  <CharactersWithSpaces>27559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2018-09-15T18:56:00Z</dcterms:created>
  <dcterms:modified xsi:type="dcterms:W3CDTF">2018-09-15T18:57:00Z</dcterms:modified>
</cp:coreProperties>
</file>